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1270"/>
        <w:gridCol w:w="6807"/>
      </w:tblGrid>
      <w:tr w:rsidR="00E04097" w:rsidTr="00E04097">
        <w:trPr>
          <w:jc w:val="center"/>
        </w:trPr>
        <w:tc>
          <w:tcPr>
            <w:tcW w:w="743" w:type="dxa"/>
            <w:hideMark/>
          </w:tcPr>
          <w:p w:rsidR="00E04097" w:rsidRDefault="00E04097">
            <w:pPr>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E04097" w:rsidRPr="00E04097" w:rsidRDefault="00E04097">
            <w:pPr>
              <w:rPr>
                <w:rFonts w:ascii="Arial" w:hAnsi="Arial"/>
                <w:b/>
                <w:bCs/>
              </w:rPr>
            </w:pPr>
            <w:r w:rsidRPr="00E04097">
              <w:rPr>
                <w:rFonts w:ascii="Arial" w:hAnsi="Arial"/>
                <w:b/>
                <w:bCs/>
                <w:rtl/>
              </w:rPr>
              <w:t>כב' השופט  יהורם שקד</w:t>
            </w:r>
          </w:p>
          <w:p w:rsidR="00E04097" w:rsidRPr="00E04097" w:rsidRDefault="00E04097">
            <w:pPr>
              <w:jc w:val="right"/>
              <w:rPr>
                <w:rFonts w:ascii="Arial" w:hAnsi="Arial" w:cs="FrankRuehl"/>
                <w:highlight w:val="yellow"/>
              </w:rPr>
            </w:pPr>
          </w:p>
        </w:tc>
      </w:tr>
      <w:tr w:rsidR="00E04097" w:rsidTr="00E04097">
        <w:trPr>
          <w:jc w:val="center"/>
        </w:trPr>
        <w:tc>
          <w:tcPr>
            <w:tcW w:w="2013" w:type="dxa"/>
            <w:gridSpan w:val="2"/>
            <w:hideMark/>
          </w:tcPr>
          <w:p w:rsidR="00E04097" w:rsidRDefault="00E04097" w:rsidP="00456D04">
            <w:pPr>
              <w:bidi w:val="0"/>
              <w:jc w:val="right"/>
              <w:rPr>
                <w:rFonts w:ascii="Arial" w:hAnsi="Arial"/>
                <w:b/>
                <w:bCs/>
                <w:noProof w:val="0"/>
                <w:rtl/>
              </w:rPr>
            </w:pPr>
            <w:r>
              <w:rPr>
                <w:rFonts w:ascii="Arial" w:hAnsi="Arial"/>
                <w:b/>
                <w:bCs/>
                <w:noProof w:val="0"/>
                <w:rtl/>
              </w:rPr>
              <w:t>התובעת</w:t>
            </w:r>
            <w:r w:rsidR="00456D04">
              <w:rPr>
                <w:rFonts w:ascii="Arial" w:hAnsi="Arial" w:hint="cs"/>
                <w:b/>
                <w:bCs/>
                <w:noProof w:val="0"/>
                <w:rtl/>
              </w:rPr>
              <w:t>:</w:t>
            </w:r>
          </w:p>
        </w:tc>
        <w:tc>
          <w:tcPr>
            <w:tcW w:w="6807" w:type="dxa"/>
            <w:hideMark/>
          </w:tcPr>
          <w:p w:rsidR="00E04097" w:rsidRPr="00E04097" w:rsidRDefault="00456D04" w:rsidP="00456D04">
            <w:pPr>
              <w:rPr>
                <w:rStyle w:val="ac"/>
                <w:color w:val="auto"/>
              </w:rPr>
            </w:pPr>
            <w:r>
              <w:rPr>
                <w:rStyle w:val="ac"/>
                <w:rFonts w:hint="cs"/>
                <w:b/>
                <w:bCs/>
                <w:color w:val="auto"/>
                <w:rtl/>
              </w:rPr>
              <w:t>פלונית</w:t>
            </w:r>
          </w:p>
          <w:p w:rsidR="00E04097" w:rsidRPr="00E04097" w:rsidRDefault="00E04097">
            <w:pPr>
              <w:rPr>
                <w:noProof w:val="0"/>
                <w:rtl/>
              </w:rPr>
            </w:pPr>
            <w:r w:rsidRPr="00E04097">
              <w:rPr>
                <w:b/>
                <w:bCs/>
                <w:noProof w:val="0"/>
                <w:rtl/>
              </w:rPr>
              <w:t>ע"י ב"כ עו"ד נטלי קדם</w:t>
            </w:r>
          </w:p>
        </w:tc>
      </w:tr>
      <w:tr w:rsidR="00E04097" w:rsidTr="00E04097">
        <w:trPr>
          <w:jc w:val="center"/>
        </w:trPr>
        <w:tc>
          <w:tcPr>
            <w:tcW w:w="8820" w:type="dxa"/>
            <w:gridSpan w:val="3"/>
          </w:tcPr>
          <w:p w:rsidR="00E04097" w:rsidRPr="00E04097" w:rsidRDefault="00E04097">
            <w:pPr>
              <w:jc w:val="right"/>
              <w:rPr>
                <w:rFonts w:ascii="Arial" w:hAnsi="Arial"/>
                <w:b/>
                <w:bCs/>
                <w:noProof w:val="0"/>
                <w:rtl/>
              </w:rPr>
            </w:pPr>
          </w:p>
          <w:p w:rsidR="00E04097" w:rsidRPr="00E04097" w:rsidRDefault="00E04097">
            <w:pPr>
              <w:rPr>
                <w:rFonts w:ascii="Arial" w:hAnsi="Arial"/>
                <w:b/>
                <w:bCs/>
                <w:noProof w:val="0"/>
              </w:rPr>
            </w:pPr>
            <w:r w:rsidRPr="00E04097">
              <w:rPr>
                <w:rFonts w:ascii="Arial" w:hAnsi="Arial"/>
                <w:b/>
                <w:bCs/>
                <w:noProof w:val="0"/>
                <w:rtl/>
              </w:rPr>
              <w:t xml:space="preserve">                                נגד</w:t>
            </w:r>
          </w:p>
          <w:p w:rsidR="00E04097" w:rsidRPr="00E04097" w:rsidRDefault="00E04097">
            <w:pPr>
              <w:jc w:val="right"/>
              <w:rPr>
                <w:rFonts w:ascii="Arial" w:hAnsi="Arial"/>
                <w:b/>
                <w:bCs/>
                <w:noProof w:val="0"/>
                <w:rtl/>
              </w:rPr>
            </w:pPr>
          </w:p>
        </w:tc>
      </w:tr>
      <w:tr w:rsidR="00E04097" w:rsidTr="00E04097">
        <w:trPr>
          <w:jc w:val="center"/>
        </w:trPr>
        <w:tc>
          <w:tcPr>
            <w:tcW w:w="2013" w:type="dxa"/>
            <w:gridSpan w:val="2"/>
            <w:hideMark/>
          </w:tcPr>
          <w:p w:rsidR="00E04097" w:rsidRDefault="00E04097">
            <w:pPr>
              <w:rPr>
                <w:rFonts w:ascii="Arial" w:hAnsi="Arial"/>
                <w:b/>
                <w:bCs/>
                <w:noProof w:val="0"/>
                <w:rtl/>
              </w:rPr>
            </w:pPr>
            <w:r>
              <w:rPr>
                <w:rFonts w:ascii="Arial" w:hAnsi="Arial"/>
                <w:b/>
                <w:bCs/>
                <w:noProof w:val="0"/>
                <w:rtl/>
              </w:rPr>
              <w:t>הנתבע</w:t>
            </w:r>
            <w:r w:rsidR="00456D04">
              <w:rPr>
                <w:rFonts w:ascii="Arial" w:hAnsi="Arial" w:hint="cs"/>
                <w:b/>
                <w:bCs/>
                <w:noProof w:val="0"/>
                <w:rtl/>
              </w:rPr>
              <w:t>:</w:t>
            </w:r>
          </w:p>
        </w:tc>
        <w:tc>
          <w:tcPr>
            <w:tcW w:w="6807" w:type="dxa"/>
            <w:hideMark/>
          </w:tcPr>
          <w:p w:rsidR="00E04097" w:rsidRPr="00E04097" w:rsidRDefault="00456D04" w:rsidP="00456D04">
            <w:pPr>
              <w:rPr>
                <w:rStyle w:val="ac"/>
                <w:color w:val="auto"/>
              </w:rPr>
            </w:pPr>
            <w:r>
              <w:rPr>
                <w:rStyle w:val="ac"/>
                <w:rFonts w:hint="cs"/>
                <w:b/>
                <w:bCs/>
                <w:color w:val="auto"/>
                <w:rtl/>
              </w:rPr>
              <w:t>אלמוני</w:t>
            </w:r>
          </w:p>
          <w:p w:rsidR="00E04097" w:rsidRPr="00E04097" w:rsidRDefault="00E04097">
            <w:pPr>
              <w:rPr>
                <w:noProof w:val="0"/>
              </w:rPr>
            </w:pPr>
            <w:r w:rsidRPr="00E04097">
              <w:rPr>
                <w:b/>
                <w:bCs/>
                <w:noProof w:val="0"/>
                <w:rtl/>
              </w:rPr>
              <w:t>ע"י ב"כ עו"ד עדי לנקרי</w:t>
            </w:r>
          </w:p>
        </w:tc>
      </w:tr>
    </w:tbl>
    <w:p w:rsidR="00E04097" w:rsidRDefault="00E04097" w:rsidP="00E04097">
      <w:pPr>
        <w:rPr>
          <w:rtl/>
        </w:rPr>
      </w:pPr>
    </w:p>
    <w:p w:rsidR="00E04097" w:rsidRPr="00E16B7B" w:rsidRDefault="00E04097" w:rsidP="00E04097">
      <w:pPr>
        <w:spacing w:line="360" w:lineRule="auto"/>
        <w:jc w:val="center"/>
        <w:rPr>
          <w:rFonts w:ascii="David" w:hAnsi="David"/>
          <w:b/>
          <w:bCs/>
          <w:sz w:val="28"/>
          <w:szCs w:val="28"/>
          <w:u w:val="single"/>
          <w:rtl/>
        </w:rPr>
      </w:pPr>
      <w:r w:rsidRPr="00E16B7B">
        <w:rPr>
          <w:rFonts w:ascii="David" w:hAnsi="David"/>
          <w:b/>
          <w:bCs/>
          <w:sz w:val="28"/>
          <w:szCs w:val="28"/>
          <w:u w:val="single"/>
          <w:rtl/>
        </w:rPr>
        <w:t>פסק דין</w:t>
      </w:r>
    </w:p>
    <w:p w:rsidR="00E04097" w:rsidRPr="00E04097" w:rsidRDefault="00E04097" w:rsidP="00E04097">
      <w:pPr>
        <w:spacing w:line="360" w:lineRule="auto"/>
        <w:jc w:val="center"/>
        <w:rPr>
          <w:rFonts w:ascii="David" w:hAnsi="David"/>
          <w:b/>
          <w:bCs/>
          <w:noProof w:val="0"/>
          <w:sz w:val="16"/>
          <w:szCs w:val="16"/>
          <w:u w:val="single"/>
        </w:rPr>
      </w:pPr>
    </w:p>
    <w:p w:rsidR="00E04097" w:rsidRDefault="00E04097" w:rsidP="00E04097">
      <w:pPr>
        <w:spacing w:line="360" w:lineRule="auto"/>
        <w:jc w:val="both"/>
        <w:rPr>
          <w:rFonts w:ascii="David" w:hAnsi="David"/>
          <w:rtl/>
        </w:rPr>
      </w:pPr>
      <w:r>
        <w:rPr>
          <w:rFonts w:ascii="David" w:hAnsi="David"/>
          <w:rtl/>
        </w:rPr>
        <w:t xml:space="preserve">בפניי תביעת למזונות קטין שהגישה התובעת כנגד התובע (להלן: </w:t>
      </w:r>
      <w:r w:rsidRPr="00E16B7B">
        <w:rPr>
          <w:rFonts w:ascii="Miriam" w:hAnsi="Miriam" w:cs="Miriam"/>
          <w:b/>
          <w:bCs/>
          <w:sz w:val="22"/>
          <w:szCs w:val="22"/>
          <w:rtl/>
        </w:rPr>
        <w:t>האם, האב, בני הזוג</w:t>
      </w:r>
      <w:r>
        <w:rPr>
          <w:rFonts w:ascii="David" w:hAnsi="David"/>
          <w:rtl/>
        </w:rPr>
        <w:t xml:space="preserve"> – בהתאמה).</w:t>
      </w:r>
    </w:p>
    <w:p w:rsidR="00E04097" w:rsidRPr="00E04097" w:rsidRDefault="00E04097" w:rsidP="00E04097">
      <w:pPr>
        <w:spacing w:line="360" w:lineRule="auto"/>
        <w:jc w:val="both"/>
        <w:rPr>
          <w:rFonts w:ascii="David" w:hAnsi="David"/>
          <w:sz w:val="16"/>
          <w:szCs w:val="16"/>
        </w:rPr>
      </w:pPr>
    </w:p>
    <w:p w:rsidR="00E04097" w:rsidRDefault="00E04097" w:rsidP="00E04097">
      <w:pPr>
        <w:spacing w:line="360" w:lineRule="auto"/>
        <w:jc w:val="both"/>
        <w:rPr>
          <w:rFonts w:ascii="David" w:hAnsi="David"/>
          <w:b/>
          <w:bCs/>
          <w:rtl/>
        </w:rPr>
      </w:pPr>
      <w:r>
        <w:rPr>
          <w:rFonts w:ascii="David" w:hAnsi="David"/>
          <w:b/>
          <w:bCs/>
          <w:rtl/>
        </w:rPr>
        <w:t>א'- העובדות הצריכות לעניין:</w:t>
      </w:r>
    </w:p>
    <w:p w:rsidR="00E04097" w:rsidRPr="00E04097" w:rsidRDefault="00E04097" w:rsidP="00E04097">
      <w:pPr>
        <w:spacing w:line="360" w:lineRule="auto"/>
        <w:jc w:val="both"/>
        <w:rPr>
          <w:rFonts w:ascii="David" w:hAnsi="David"/>
          <w:b/>
          <w:bCs/>
          <w:sz w:val="16"/>
          <w:szCs w:val="16"/>
          <w:rtl/>
        </w:rPr>
      </w:pPr>
    </w:p>
    <w:p w:rsidR="00E04097" w:rsidRDefault="00E04097" w:rsidP="00456D04">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בין הצדדים התנהל קשר רומנטי במהלכו וביום 26.1.2021 נולד להם בנם המשותף (להלן: </w:t>
      </w:r>
      <w:r w:rsidRPr="00E16B7B">
        <w:rPr>
          <w:rFonts w:ascii="Miriam" w:hAnsi="Miriam" w:cs="Miriam"/>
          <w:b/>
          <w:bCs/>
          <w:rtl/>
        </w:rPr>
        <w:t>ה</w:t>
      </w:r>
      <w:r w:rsidR="00456D04">
        <w:rPr>
          <w:rFonts w:ascii="Miriam" w:hAnsi="Miriam" w:cs="Miriam" w:hint="cs"/>
          <w:b/>
          <w:bCs/>
          <w:rtl/>
        </w:rPr>
        <w:t>ילד</w:t>
      </w:r>
      <w:r w:rsidRPr="00E16B7B">
        <w:rPr>
          <w:rFonts w:ascii="Miriam" w:hAnsi="Miriam" w:cs="Miriam"/>
          <w:b/>
          <w:bCs/>
          <w:rtl/>
        </w:rPr>
        <w:t>, הקטין</w:t>
      </w:r>
      <w:r>
        <w:rPr>
          <w:rFonts w:ascii="David" w:hAnsi="David" w:cs="David"/>
          <w:sz w:val="24"/>
          <w:szCs w:val="24"/>
          <w:rtl/>
        </w:rPr>
        <w:t>).</w:t>
      </w:r>
    </w:p>
    <w:p w:rsidR="00E04097" w:rsidRPr="00E04097" w:rsidRDefault="00E04097" w:rsidP="00E04097">
      <w:pPr>
        <w:pStyle w:val="ad"/>
        <w:spacing w:line="360" w:lineRule="auto"/>
        <w:ind w:left="567"/>
        <w:jc w:val="both"/>
        <w:rPr>
          <w:rFonts w:ascii="David" w:hAnsi="David" w:cs="David"/>
          <w:sz w:val="16"/>
          <w:szCs w:val="16"/>
          <w:rtl/>
        </w:rPr>
      </w:pPr>
    </w:p>
    <w:p w:rsidR="00E04097" w:rsidRDefault="00E04097" w:rsidP="00456D04">
      <w:pPr>
        <w:pStyle w:val="ad"/>
        <w:numPr>
          <w:ilvl w:val="0"/>
          <w:numId w:val="1"/>
        </w:numPr>
        <w:spacing w:line="360" w:lineRule="auto"/>
        <w:ind w:left="567" w:hanging="567"/>
        <w:jc w:val="both"/>
        <w:rPr>
          <w:rFonts w:ascii="David" w:hAnsi="David" w:cs="David"/>
          <w:sz w:val="24"/>
          <w:szCs w:val="24"/>
        </w:rPr>
      </w:pPr>
      <w:r>
        <w:rPr>
          <w:rFonts w:ascii="David" w:hAnsi="David" w:cs="David" w:hint="cs"/>
          <w:sz w:val="24"/>
          <w:szCs w:val="24"/>
          <w:rtl/>
        </w:rPr>
        <w:t xml:space="preserve">ביום 19.1.2023 הוגשה התביעה שבפניי, שבמסגרתה עתרה האם לחיוב האב במזונות ומדור הקטין בסך כולל של 6,600 ₪, לפי הפירוט הבא: מזון 1,000 ₪; טיטולים והגיינה 1,000 ₪; ביגוד והנעלה 750 ₪; דמי טיפול ושמרטפות 1,500 ₪; משחקים 250 ₪; הוצאות חינוך 1,100 ₪; ביטוח רפואי 130 ₪; מדור 930 ₪. </w:t>
      </w:r>
    </w:p>
    <w:p w:rsidR="00E04097" w:rsidRPr="00E04097" w:rsidRDefault="00E04097" w:rsidP="00E04097">
      <w:pPr>
        <w:pStyle w:val="ad"/>
        <w:spacing w:line="360" w:lineRule="auto"/>
        <w:ind w:left="567"/>
        <w:jc w:val="both"/>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ביום 4.5.2023 ניתנה החלטתי בעניין המזונות הזמניים שם קצבתי את הוצאות הקטין בכ 3,000 ₪ (צרכים "הכרחיים", מדור ודמי טיפול) ובהתאם חייבתי את האב בסך כולל של 2,000 ₪ לחודש. </w:t>
      </w:r>
    </w:p>
    <w:p w:rsidR="00E04097" w:rsidRPr="00E04097" w:rsidRDefault="00E04097" w:rsidP="00E04097">
      <w:pPr>
        <w:pStyle w:val="ad"/>
        <w:rPr>
          <w:rFonts w:ascii="David" w:hAnsi="David" w:cs="David"/>
          <w:sz w:val="16"/>
          <w:szCs w:val="16"/>
        </w:rPr>
      </w:pPr>
    </w:p>
    <w:p w:rsidR="00E04097" w:rsidRDefault="00E04097" w:rsidP="00456D04">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בין לבין, הגיעו הצדדים לידי הסכמה בעניין זמני השהות, כך שהקטין ש</w:t>
      </w:r>
      <w:r w:rsidR="00456D04">
        <w:rPr>
          <w:rFonts w:ascii="David" w:hAnsi="David" w:cs="David" w:hint="cs"/>
          <w:sz w:val="24"/>
          <w:szCs w:val="24"/>
          <w:rtl/>
        </w:rPr>
        <w:t>ו</w:t>
      </w:r>
      <w:r>
        <w:rPr>
          <w:rFonts w:ascii="David" w:hAnsi="David" w:cs="David"/>
          <w:sz w:val="24"/>
          <w:szCs w:val="24"/>
          <w:rtl/>
        </w:rPr>
        <w:t xml:space="preserve">הה עם האב יום בשבוע וכל סופ"ש לסירוגין </w:t>
      </w:r>
      <w:r w:rsidR="00456D04">
        <w:rPr>
          <w:rFonts w:ascii="David" w:hAnsi="David" w:cs="David" w:hint="cs"/>
          <w:sz w:val="24"/>
          <w:szCs w:val="24"/>
          <w:rtl/>
        </w:rPr>
        <w:t>(</w:t>
      </w:r>
      <w:r>
        <w:rPr>
          <w:rFonts w:ascii="David" w:hAnsi="David" w:cs="David"/>
          <w:sz w:val="24"/>
          <w:szCs w:val="24"/>
          <w:rtl/>
        </w:rPr>
        <w:t>כ 80% מזמנו עם האם וכ 20% עם האב</w:t>
      </w:r>
      <w:r w:rsidR="00456D04">
        <w:rPr>
          <w:rFonts w:ascii="David" w:hAnsi="David" w:cs="David" w:hint="cs"/>
          <w:sz w:val="24"/>
          <w:szCs w:val="24"/>
          <w:rtl/>
        </w:rPr>
        <w:t>)</w:t>
      </w:r>
      <w:r>
        <w:rPr>
          <w:rFonts w:ascii="David" w:hAnsi="David" w:cs="David"/>
          <w:sz w:val="24"/>
          <w:szCs w:val="24"/>
          <w:rtl/>
        </w:rPr>
        <w:t>. הסכמה זו קיבלה תוקף של החלטה ביום 19.7.2023 ו</w:t>
      </w:r>
      <w:r w:rsidR="00E16B7B">
        <w:rPr>
          <w:rFonts w:ascii="David" w:hAnsi="David" w:cs="David" w:hint="cs"/>
          <w:sz w:val="24"/>
          <w:szCs w:val="24"/>
          <w:rtl/>
        </w:rPr>
        <w:t xml:space="preserve">כעת היא מקבלת תוקף של פסק דין. </w:t>
      </w:r>
    </w:p>
    <w:p w:rsidR="00E04097" w:rsidRPr="00E04097" w:rsidRDefault="00E04097" w:rsidP="00E04097">
      <w:pPr>
        <w:pStyle w:val="ad"/>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במהלך בירור התובענה נעשו על ידי ניסיונות לא מעטים להביא לסיום המחלוקת הנקודתית בעניין מזונות הקטין, אולם ללא הצלחה. גם לאחר תום שמיעת הצדדים נעשה ניסיון נוסף שלא צלח, תוך שהצדדים נמצאו 'מתעקשים' (וכמובן שזו זכותם) על סכומים שניכרו להיות לא משמעותיים בעליל, תחת כל סיטואציה. לפיכך, ומשהוגשו סיכומי הצדדים, ניתן פסק דין זה.</w:t>
      </w:r>
    </w:p>
    <w:p w:rsidR="00E04097" w:rsidRPr="00E04097" w:rsidRDefault="00E04097" w:rsidP="00E04097">
      <w:pPr>
        <w:pStyle w:val="ad"/>
        <w:rPr>
          <w:rFonts w:ascii="David" w:hAnsi="David" w:cs="David"/>
          <w:sz w:val="16"/>
          <w:szCs w:val="16"/>
          <w:rtl/>
        </w:rPr>
      </w:pPr>
    </w:p>
    <w:p w:rsidR="00E04097" w:rsidRDefault="00E04097" w:rsidP="00E04097">
      <w:pPr>
        <w:spacing w:line="360" w:lineRule="auto"/>
        <w:jc w:val="both"/>
        <w:rPr>
          <w:rFonts w:ascii="David" w:hAnsi="David"/>
          <w:b/>
          <w:bCs/>
          <w:rtl/>
        </w:rPr>
      </w:pPr>
      <w:r>
        <w:rPr>
          <w:rFonts w:ascii="David" w:hAnsi="David"/>
          <w:b/>
          <w:bCs/>
          <w:rtl/>
        </w:rPr>
        <w:t>ב' -  טענות הצדדים:</w:t>
      </w:r>
    </w:p>
    <w:p w:rsidR="00E04097" w:rsidRPr="00E04097" w:rsidRDefault="00E04097" w:rsidP="00E04097">
      <w:pPr>
        <w:pStyle w:val="ad"/>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להלן עיקר טענות האם (מתוך כתב התביעה): </w:t>
      </w:r>
    </w:p>
    <w:p w:rsidR="00E04097" w:rsidRPr="00E04097" w:rsidRDefault="00E04097" w:rsidP="00E04097">
      <w:pPr>
        <w:pStyle w:val="ad"/>
        <w:spacing w:line="360" w:lineRule="auto"/>
        <w:ind w:left="567"/>
        <w:jc w:val="both"/>
        <w:rPr>
          <w:rFonts w:ascii="David" w:hAnsi="David" w:cs="David"/>
          <w:sz w:val="16"/>
          <w:szCs w:val="16"/>
          <w:rtl/>
        </w:rPr>
      </w:pPr>
    </w:p>
    <w:p w:rsidR="00E04097" w:rsidRDefault="00E04097" w:rsidP="00E04097">
      <w:pPr>
        <w:pStyle w:val="ad"/>
        <w:numPr>
          <w:ilvl w:val="0"/>
          <w:numId w:val="5"/>
        </w:numPr>
        <w:spacing w:line="360" w:lineRule="auto"/>
        <w:jc w:val="both"/>
        <w:rPr>
          <w:rFonts w:ascii="David" w:hAnsi="David" w:cs="David"/>
          <w:sz w:val="24"/>
          <w:szCs w:val="24"/>
        </w:rPr>
      </w:pPr>
      <w:r>
        <w:rPr>
          <w:rFonts w:ascii="David" w:hAnsi="David" w:cs="David"/>
          <w:sz w:val="24"/>
          <w:szCs w:val="24"/>
          <w:rtl/>
        </w:rPr>
        <w:t>הקטין בן כשנתיים ולכן על האב חלה חובה אבסולוטית לזון אותו.</w:t>
      </w:r>
    </w:p>
    <w:p w:rsidR="00E04097" w:rsidRDefault="00E04097" w:rsidP="00E04097">
      <w:pPr>
        <w:pStyle w:val="ad"/>
        <w:numPr>
          <w:ilvl w:val="0"/>
          <w:numId w:val="5"/>
        </w:numPr>
        <w:spacing w:line="360" w:lineRule="auto"/>
        <w:jc w:val="both"/>
        <w:rPr>
          <w:rFonts w:ascii="David" w:hAnsi="David" w:cs="David"/>
          <w:sz w:val="24"/>
          <w:szCs w:val="24"/>
          <w:rtl/>
        </w:rPr>
      </w:pPr>
      <w:r>
        <w:rPr>
          <w:rFonts w:ascii="David" w:hAnsi="David" w:cs="David"/>
          <w:sz w:val="24"/>
          <w:szCs w:val="24"/>
          <w:rtl/>
        </w:rPr>
        <w:lastRenderedPageBreak/>
        <w:t>האם מתגוררת בשכירות בדירת שני חדרים תמורת 3,100 ₪ לחודש ולכן חלקו של האב עומד על 30% (910 ₪ לחודש).</w:t>
      </w:r>
    </w:p>
    <w:p w:rsidR="00E04097" w:rsidRDefault="00E04097" w:rsidP="00E04097">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מאחר ועול הטיפול בקטין נופל על כתפי האם, יש לחייב את האב ב 1,500 ₪ לחודש כדמי טיפול. </w:t>
      </w:r>
    </w:p>
    <w:p w:rsidR="00E04097" w:rsidRDefault="00E04097" w:rsidP="00E04097">
      <w:pPr>
        <w:pStyle w:val="ad"/>
        <w:numPr>
          <w:ilvl w:val="0"/>
          <w:numId w:val="5"/>
        </w:numPr>
        <w:spacing w:line="360" w:lineRule="auto"/>
        <w:jc w:val="both"/>
        <w:rPr>
          <w:rFonts w:ascii="David" w:hAnsi="David" w:cs="David"/>
          <w:sz w:val="24"/>
          <w:szCs w:val="24"/>
        </w:rPr>
      </w:pPr>
      <w:r>
        <w:rPr>
          <w:rFonts w:ascii="David" w:hAnsi="David" w:cs="David"/>
          <w:sz w:val="24"/>
          <w:szCs w:val="24"/>
          <w:rtl/>
        </w:rPr>
        <w:t>בתצהיר עדותה הראשית נטען כי האם עובדת כמנקה בזמנים מוגבלים ומשתכרת כ 6,160 ₪ לחודש.</w:t>
      </w:r>
      <w:r>
        <w:rPr>
          <w:rFonts w:ascii="David" w:hAnsi="David"/>
        </w:rPr>
        <w:t xml:space="preserve"> </w:t>
      </w:r>
    </w:p>
    <w:p w:rsidR="00E04097" w:rsidRPr="00E04097" w:rsidRDefault="00E04097" w:rsidP="00E04097">
      <w:pPr>
        <w:pStyle w:val="ad"/>
        <w:spacing w:line="360" w:lineRule="auto"/>
        <w:ind w:left="927"/>
        <w:jc w:val="both"/>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להלן עיקר טענות האב (מתוך כתב ההגנה):</w:t>
      </w:r>
    </w:p>
    <w:p w:rsidR="00E04097" w:rsidRPr="00E04097" w:rsidRDefault="00E04097" w:rsidP="00E04097">
      <w:pPr>
        <w:pStyle w:val="ad"/>
        <w:spacing w:line="360" w:lineRule="auto"/>
        <w:ind w:left="567"/>
        <w:jc w:val="both"/>
        <w:rPr>
          <w:rFonts w:ascii="David" w:hAnsi="David" w:cs="David"/>
          <w:sz w:val="16"/>
          <w:szCs w:val="16"/>
        </w:rPr>
      </w:pPr>
    </w:p>
    <w:p w:rsidR="00E04097" w:rsidRDefault="00E04097" w:rsidP="00E04097">
      <w:pPr>
        <w:pStyle w:val="ad"/>
        <w:numPr>
          <w:ilvl w:val="0"/>
          <w:numId w:val="6"/>
        </w:numPr>
        <w:spacing w:line="360" w:lineRule="auto"/>
        <w:jc w:val="both"/>
        <w:rPr>
          <w:rFonts w:ascii="David" w:hAnsi="David"/>
        </w:rPr>
      </w:pPr>
      <w:r>
        <w:rPr>
          <w:rFonts w:ascii="David" w:hAnsi="David" w:cs="David"/>
          <w:sz w:val="24"/>
          <w:szCs w:val="24"/>
          <w:rtl/>
        </w:rPr>
        <w:t>האב משתכר כ 9,000 ₪ לחודש מעבודתו כטבח ואילו האם משתכרת כ 10,000 ₪ לחודש. האב מתגורר בדירה שכורה תמורת 3,600 ₪ לחודש ולכן יחס הכנסותיהם שווה.</w:t>
      </w:r>
    </w:p>
    <w:p w:rsidR="00E04097" w:rsidRDefault="00E04097" w:rsidP="00E04097">
      <w:pPr>
        <w:pStyle w:val="ad"/>
        <w:numPr>
          <w:ilvl w:val="0"/>
          <w:numId w:val="6"/>
        </w:numPr>
        <w:spacing w:line="360" w:lineRule="auto"/>
        <w:jc w:val="both"/>
        <w:rPr>
          <w:rFonts w:ascii="David" w:hAnsi="David"/>
        </w:rPr>
      </w:pPr>
      <w:r>
        <w:rPr>
          <w:rFonts w:ascii="David" w:hAnsi="David" w:cs="David"/>
          <w:sz w:val="24"/>
          <w:szCs w:val="24"/>
          <w:rtl/>
        </w:rPr>
        <w:t>על הצדדים לא חל הדין האישי שכן הם אינם יהודיים (עובדים זרים שאף אינם אזרחים).</w:t>
      </w:r>
    </w:p>
    <w:p w:rsidR="00E04097" w:rsidRDefault="00E04097" w:rsidP="00E04097">
      <w:pPr>
        <w:pStyle w:val="ad"/>
        <w:numPr>
          <w:ilvl w:val="0"/>
          <w:numId w:val="6"/>
        </w:numPr>
        <w:spacing w:line="360" w:lineRule="auto"/>
        <w:jc w:val="both"/>
        <w:rPr>
          <w:rFonts w:ascii="David" w:hAnsi="David"/>
        </w:rPr>
      </w:pPr>
      <w:r>
        <w:rPr>
          <w:rFonts w:ascii="David" w:hAnsi="David" w:cs="David"/>
          <w:sz w:val="24"/>
          <w:szCs w:val="24"/>
          <w:rtl/>
        </w:rPr>
        <w:t>הוצאות הקטין מכל מין וסוג שהוא עומדות על 2,000 ₪ לחודש.</w:t>
      </w:r>
    </w:p>
    <w:p w:rsidR="00E04097" w:rsidRDefault="00E04097" w:rsidP="00E04097">
      <w:pPr>
        <w:pStyle w:val="ad"/>
        <w:numPr>
          <w:ilvl w:val="0"/>
          <w:numId w:val="6"/>
        </w:numPr>
        <w:spacing w:line="360" w:lineRule="auto"/>
        <w:jc w:val="both"/>
        <w:rPr>
          <w:rFonts w:ascii="David" w:hAnsi="David"/>
        </w:rPr>
      </w:pPr>
      <w:r>
        <w:rPr>
          <w:rFonts w:ascii="David" w:hAnsi="David" w:cs="David"/>
          <w:sz w:val="24"/>
          <w:szCs w:val="24"/>
          <w:rtl/>
        </w:rPr>
        <w:t>לנוכח יחס ההכנסות והסדרי השהייה, על האב לשאת לכל היותר בכ 650 ₪ לחודש.</w:t>
      </w:r>
    </w:p>
    <w:p w:rsidR="00E04097" w:rsidRPr="00E04097" w:rsidRDefault="00E04097" w:rsidP="00E04097">
      <w:pPr>
        <w:pStyle w:val="ad"/>
        <w:spacing w:line="360" w:lineRule="auto"/>
        <w:ind w:left="927"/>
        <w:jc w:val="both"/>
        <w:rPr>
          <w:rFonts w:ascii="David" w:hAnsi="David"/>
          <w:sz w:val="14"/>
          <w:szCs w:val="14"/>
        </w:rPr>
      </w:pPr>
    </w:p>
    <w:p w:rsidR="00E04097" w:rsidRDefault="00E04097" w:rsidP="00E04097">
      <w:pPr>
        <w:spacing w:line="360" w:lineRule="auto"/>
        <w:jc w:val="both"/>
        <w:rPr>
          <w:rFonts w:ascii="David" w:hAnsi="David"/>
          <w:b/>
          <w:bCs/>
        </w:rPr>
      </w:pPr>
      <w:r>
        <w:rPr>
          <w:rFonts w:ascii="David" w:hAnsi="David"/>
          <w:b/>
          <w:bCs/>
          <w:rtl/>
        </w:rPr>
        <w:t>ג'- דיון:</w:t>
      </w:r>
    </w:p>
    <w:p w:rsidR="00E04097" w:rsidRPr="00E04097" w:rsidRDefault="00E04097" w:rsidP="00E04097">
      <w:pPr>
        <w:spacing w:line="360" w:lineRule="auto"/>
        <w:jc w:val="both"/>
        <w:rPr>
          <w:rFonts w:ascii="David" w:hAnsi="David"/>
          <w:b/>
          <w:bCs/>
          <w:sz w:val="16"/>
          <w:szCs w:val="16"/>
        </w:rPr>
      </w:pPr>
    </w:p>
    <w:p w:rsidR="00E04097" w:rsidRDefault="00E04097" w:rsidP="00E04097">
      <w:pPr>
        <w:spacing w:line="360" w:lineRule="auto"/>
        <w:jc w:val="both"/>
        <w:rPr>
          <w:rFonts w:ascii="David" w:hAnsi="David"/>
          <w:b/>
          <w:bCs/>
          <w:rtl/>
        </w:rPr>
      </w:pPr>
      <w:r>
        <w:rPr>
          <w:rFonts w:ascii="David" w:hAnsi="David"/>
          <w:b/>
          <w:bCs/>
          <w:rtl/>
        </w:rPr>
        <w:t>ג.1. – הדין החל:</w:t>
      </w:r>
    </w:p>
    <w:p w:rsidR="00E04097" w:rsidRPr="00E04097" w:rsidRDefault="00E04097" w:rsidP="00E04097">
      <w:pPr>
        <w:spacing w:line="360" w:lineRule="auto"/>
        <w:jc w:val="both"/>
        <w:rPr>
          <w:rFonts w:ascii="David" w:hAnsi="David"/>
          <w:b/>
          <w:bCs/>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ראשון וראשית, צודק האב כי על הצדדים לא חל דין אישי ולמצער, לא הוכח בפני בית המשפט דין אישי כלשהו שמכוחו יש לחייב את האב. לפיכך, חיובו של האב הוא מכח החוק לתיקון דיני משפחה (מזונות) תשי"ט 1959 (להלן: </w:t>
      </w:r>
      <w:r w:rsidRPr="00E16B7B">
        <w:rPr>
          <w:rFonts w:ascii="Miriam" w:hAnsi="Miriam" w:cs="Miriam"/>
          <w:b/>
          <w:bCs/>
          <w:rtl/>
        </w:rPr>
        <w:t>החוק</w:t>
      </w:r>
      <w:r>
        <w:rPr>
          <w:rFonts w:ascii="David" w:hAnsi="David" w:cs="David"/>
          <w:sz w:val="24"/>
          <w:szCs w:val="24"/>
          <w:rtl/>
        </w:rPr>
        <w:t>).</w:t>
      </w:r>
    </w:p>
    <w:p w:rsidR="00E04097" w:rsidRPr="00E04097" w:rsidRDefault="00E04097" w:rsidP="00E04097">
      <w:pPr>
        <w:pStyle w:val="ad"/>
        <w:spacing w:line="360" w:lineRule="auto"/>
        <w:ind w:left="567"/>
        <w:jc w:val="both"/>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סעיף 3(ב) לחוק מורה כי: "</w:t>
      </w:r>
      <w:r>
        <w:rPr>
          <w:rFonts w:ascii="David" w:hAnsi="David" w:cs="David"/>
          <w:b/>
          <w:bCs/>
          <w:sz w:val="24"/>
          <w:szCs w:val="24"/>
          <w:rtl/>
        </w:rPr>
        <w:t>אדם שאינו חייב במזונות הילדים הקטינים שלו והילדים הקטינים של בן זוגו לפי הוראות הדין האישי החל עליו, או שלא חל עליו דין אישי, חייב במזונותיהם, והוראות חוק זה יחולו על מזונות אלה</w:t>
      </w:r>
      <w:r>
        <w:rPr>
          <w:rFonts w:ascii="David" w:hAnsi="David" w:cs="David"/>
          <w:sz w:val="24"/>
          <w:szCs w:val="24"/>
          <w:rtl/>
        </w:rPr>
        <w:t>". באשר לאופן החיוב נקבע בסעיף 3א' לחוק המזונות כדלהלן: "</w:t>
      </w:r>
      <w:r>
        <w:rPr>
          <w:rFonts w:ascii="David" w:hAnsi="David" w:cs="David"/>
          <w:b/>
          <w:bCs/>
          <w:sz w:val="24"/>
          <w:szCs w:val="24"/>
          <w:rtl/>
        </w:rPr>
        <w:t>(א) אביו ואמו של קטין חייבים במזונותיו. (ב) בלי להתחשב בעובדה בידי מי מוחזק קטין יחולו המזונות על הוריו בשיעור יחסי להכנסותיהם מכל מקור שהוא</w:t>
      </w:r>
      <w:r>
        <w:rPr>
          <w:rFonts w:ascii="David" w:hAnsi="David" w:cs="David"/>
          <w:sz w:val="24"/>
          <w:szCs w:val="24"/>
          <w:rtl/>
        </w:rPr>
        <w:t>".</w:t>
      </w:r>
    </w:p>
    <w:p w:rsidR="00E04097" w:rsidRPr="00E04097" w:rsidRDefault="00E04097" w:rsidP="00E04097">
      <w:pPr>
        <w:pStyle w:val="ad"/>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הנה כי כן, על פניו, על ההורים לשאת במזונות ילדם הקטין בשיעור יחסי להכנסותיהם מכל מקור שהוא, וזאת בהתעלם מהשאלה בידי מי מוחזק הקטין. עם זאת, התעלמות משאלת חלוקת שהות הקטין בין הוריו בפסיקת מזונותיו תביא לפגיעה בשוויון המהותי בין ההורים. </w:t>
      </w:r>
    </w:p>
    <w:p w:rsidR="00E04097" w:rsidRPr="00E04097" w:rsidRDefault="00E04097" w:rsidP="00E04097">
      <w:pPr>
        <w:pStyle w:val="ad"/>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משכך, בבוא בית המשפט להכריע בשאלת החיוב במזונותיהם של קטינים לפי חוק המזונות, הבחינה צריכה להיעשות בשלושה שלבים:</w:t>
      </w:r>
    </w:p>
    <w:p w:rsidR="00E04097" w:rsidRPr="00E04097" w:rsidRDefault="00E04097" w:rsidP="00E04097">
      <w:pPr>
        <w:pStyle w:val="ad"/>
        <w:rPr>
          <w:rFonts w:ascii="David" w:hAnsi="David" w:cs="David"/>
          <w:sz w:val="16"/>
          <w:szCs w:val="16"/>
          <w:rtl/>
        </w:rPr>
      </w:pPr>
    </w:p>
    <w:p w:rsidR="00E04097" w:rsidRDefault="00E04097" w:rsidP="00E04097">
      <w:pPr>
        <w:pStyle w:val="ad"/>
        <w:spacing w:line="360" w:lineRule="auto"/>
        <w:ind w:left="567"/>
        <w:jc w:val="both"/>
        <w:rPr>
          <w:rFonts w:ascii="David" w:hAnsi="David" w:cs="David"/>
          <w:sz w:val="24"/>
          <w:szCs w:val="24"/>
        </w:rPr>
      </w:pPr>
      <w:r>
        <w:rPr>
          <w:rFonts w:ascii="David" w:hAnsi="David" w:cs="David"/>
          <w:sz w:val="24"/>
          <w:szCs w:val="24"/>
          <w:u w:val="single"/>
          <w:rtl/>
        </w:rPr>
        <w:t>בשלב הראשון</w:t>
      </w:r>
      <w:r>
        <w:rPr>
          <w:rFonts w:ascii="David" w:hAnsi="David" w:cs="David"/>
          <w:sz w:val="24"/>
          <w:szCs w:val="24"/>
          <w:rtl/>
        </w:rPr>
        <w:t xml:space="preserve"> - יש לקבוע את צרכי הקטין, כולל הצרכים הכלליים באופן מלא, וללא קשר לשאלת החזקתו בפועל על ידי מי מהוריו. קביעה זו תיעשה לפי הצרכים שהקטין הורגל אליהם.</w:t>
      </w:r>
    </w:p>
    <w:p w:rsidR="00E04097" w:rsidRPr="00E04097" w:rsidRDefault="00E04097" w:rsidP="00E04097">
      <w:pPr>
        <w:spacing w:line="360" w:lineRule="auto"/>
        <w:ind w:left="567"/>
        <w:jc w:val="both"/>
        <w:rPr>
          <w:rFonts w:ascii="David" w:hAnsi="David"/>
          <w:sz w:val="4"/>
          <w:szCs w:val="4"/>
          <w:rtl/>
        </w:rPr>
      </w:pPr>
    </w:p>
    <w:p w:rsidR="00E04097" w:rsidRDefault="00E04097" w:rsidP="00E04097">
      <w:pPr>
        <w:pStyle w:val="ad"/>
        <w:spacing w:line="360" w:lineRule="auto"/>
        <w:ind w:left="567"/>
        <w:jc w:val="both"/>
        <w:rPr>
          <w:rFonts w:ascii="David" w:hAnsi="David" w:cs="David"/>
          <w:sz w:val="24"/>
          <w:szCs w:val="24"/>
        </w:rPr>
      </w:pPr>
      <w:r>
        <w:rPr>
          <w:rFonts w:ascii="David" w:hAnsi="David" w:cs="David"/>
          <w:sz w:val="24"/>
          <w:szCs w:val="24"/>
          <w:u w:val="single"/>
          <w:rtl/>
        </w:rPr>
        <w:t>בשלב השני</w:t>
      </w:r>
      <w:r>
        <w:rPr>
          <w:rFonts w:ascii="David" w:hAnsi="David" w:cs="David"/>
          <w:sz w:val="24"/>
          <w:szCs w:val="24"/>
          <w:rtl/>
        </w:rPr>
        <w:t xml:space="preserve"> - יש לבחון את שיעור היחסי של ההכנסות הפנויות של כל אחד מההורים. </w:t>
      </w:r>
    </w:p>
    <w:p w:rsidR="00E04097" w:rsidRDefault="00E04097" w:rsidP="00E04097">
      <w:pPr>
        <w:spacing w:line="360" w:lineRule="auto"/>
        <w:ind w:left="567"/>
        <w:jc w:val="both"/>
        <w:rPr>
          <w:rFonts w:ascii="David" w:hAnsi="David"/>
          <w:rtl/>
        </w:rPr>
      </w:pPr>
      <w:r>
        <w:rPr>
          <w:rFonts w:ascii="David" w:hAnsi="David"/>
          <w:u w:val="single"/>
          <w:rtl/>
        </w:rPr>
        <w:lastRenderedPageBreak/>
        <w:t>בשלב השלישי</w:t>
      </w:r>
      <w:r>
        <w:rPr>
          <w:rFonts w:ascii="David" w:hAnsi="David"/>
          <w:rtl/>
        </w:rPr>
        <w:t xml:space="preserve">  - יש לבחון את שיעור החזקתו של הקטין אצל כל אחד מההורים תוך בחינת השתתפותו של כל אחד מההורים בקופה המשותפת (ר' לעניין זה פסק דינו של כב' השופט י' שנלר בע"מ (ת"א) 1098/07 </w:t>
      </w:r>
      <w:r>
        <w:rPr>
          <w:rFonts w:ascii="David" w:hAnsi="David"/>
          <w:b/>
          <w:bCs/>
          <w:rtl/>
        </w:rPr>
        <w:t>פלוני נ' אלמוני – קטין</w:t>
      </w:r>
      <w:r>
        <w:rPr>
          <w:rFonts w:ascii="David" w:hAnsi="David"/>
          <w:rtl/>
        </w:rPr>
        <w:t xml:space="preserve"> (פורסם בנבו, 31.8.08) באשר להשפעה של הסדרי השהייה על קביעת סכום המזונות שיש לפסוק בחיוב מכח ס' 3א' לחוק המזונות).</w:t>
      </w:r>
    </w:p>
    <w:p w:rsidR="00E04097" w:rsidRPr="00E04097" w:rsidRDefault="00E04097" w:rsidP="00E04097">
      <w:pPr>
        <w:spacing w:line="360" w:lineRule="auto"/>
        <w:jc w:val="both"/>
        <w:rPr>
          <w:rFonts w:ascii="David" w:hAnsi="David"/>
          <w:b/>
          <w:bCs/>
          <w:sz w:val="16"/>
          <w:szCs w:val="16"/>
          <w:rtl/>
        </w:rPr>
      </w:pPr>
    </w:p>
    <w:p w:rsidR="00E04097" w:rsidRDefault="00E04097" w:rsidP="00E04097">
      <w:pPr>
        <w:spacing w:line="360" w:lineRule="auto"/>
        <w:jc w:val="both"/>
        <w:rPr>
          <w:rFonts w:ascii="David" w:hAnsi="David"/>
          <w:b/>
          <w:bCs/>
          <w:rtl/>
        </w:rPr>
      </w:pPr>
      <w:r>
        <w:rPr>
          <w:rFonts w:ascii="David" w:hAnsi="David"/>
          <w:b/>
          <w:bCs/>
          <w:rtl/>
        </w:rPr>
        <w:t>ג.2. -  יכולותיהם הכלכליות של ההורים:</w:t>
      </w:r>
    </w:p>
    <w:p w:rsidR="00E04097" w:rsidRPr="00E04097" w:rsidRDefault="00E04097" w:rsidP="00E04097">
      <w:pPr>
        <w:spacing w:line="360" w:lineRule="auto"/>
        <w:jc w:val="both"/>
        <w:rPr>
          <w:rFonts w:ascii="David" w:hAnsi="David"/>
          <w:b/>
          <w:bCs/>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עיון בעשרת תלושי השכר האחרונים של האב ממקום עבודתו הנוכחי (מהמועד בו החל לעבוד שם) מעלה כי שכרו הממוצע עומד על כ 10,500 ₪ לחודש בערכי נטו. האב מתגורר עם בת זוגו בשכירות תמורת 3,600 ₪ לחודש והודה כי הוא נושא במחצית הסכום. אשר על כן, הכנסתו לאחר תשלום שכירות עומדת על כ 8,700 ₪ לחודש. מתוך זה אני מעריך את הוצאות המחייה הבסיסיות של האב בכ 1,500 ₪ לחודש, מה שמותיר לו סך פנוי של כ 7,200 ₪ לחודש.</w:t>
      </w:r>
    </w:p>
    <w:p w:rsidR="00E04097" w:rsidRPr="00E04097" w:rsidRDefault="00E04097" w:rsidP="00E04097">
      <w:pPr>
        <w:pStyle w:val="ad"/>
        <w:spacing w:line="360" w:lineRule="auto"/>
        <w:ind w:left="567"/>
        <w:jc w:val="both"/>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האם מועסקת בעבודות משק בית, לטענתה, בעבור 55 ₪ לשעה ומוסיפה וטוענת כי היא עובדת כ 112-115 שעות לחודש (שכר כולל של כ 6,160 ₪ לחודש, לטענתה). האם צירפה לתצהיר עדותה מכתבים מחלק ממעסיקיה וטענה כי לנוכח טיפולה האינטנסיבי בקטין, נמנע ממנה לעבוד באופן נרחב יותר. בתחשיב של חודש עבודה ממוצע בן 20 ימים, יוצא כי האם עובדת כ 6 שעות יומיות ובחודש עבודה של 25 ימים, יוצא כי האם עובדת כ 4.6 שעות ביום. </w:t>
      </w:r>
    </w:p>
    <w:p w:rsidR="00E04097" w:rsidRPr="00E04097" w:rsidRDefault="00E04097" w:rsidP="00E04097">
      <w:pPr>
        <w:pStyle w:val="ad"/>
        <w:rPr>
          <w:rFonts w:ascii="David" w:hAnsi="David" w:cs="David"/>
          <w:sz w:val="16"/>
          <w:szCs w:val="16"/>
        </w:rPr>
      </w:pPr>
    </w:p>
    <w:p w:rsidR="00E04097" w:rsidRDefault="00E04097" w:rsidP="00042314">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כאמור, האם עובדת כמנקה במשק בית, במספר בתים שונים. האם הציפה את הקושי של היותה עבודת זרה אשר ע</w:t>
      </w:r>
      <w:r w:rsidR="00042314">
        <w:rPr>
          <w:rFonts w:ascii="David" w:hAnsi="David" w:cs="David" w:hint="cs"/>
          <w:sz w:val="24"/>
          <w:szCs w:val="24"/>
          <w:rtl/>
        </w:rPr>
        <w:t>ו</w:t>
      </w:r>
      <w:r>
        <w:rPr>
          <w:rFonts w:ascii="David" w:hAnsi="David" w:cs="David"/>
          <w:sz w:val="24"/>
          <w:szCs w:val="24"/>
          <w:rtl/>
        </w:rPr>
        <w:t xml:space="preserve">בדת בניקיון בתים בכך שלא כל המעסיקים שלה מוכנים לתת לה אישור על השכר אותו הוא משלמים. בנוסף האם לא תמיד מצליחה לעבוד שבועות מלאים במקרה שהקטין נמצא עמה משום חופשות או מחלות. בשים לב לאמור לעיל ולעובדה כי, בכל הכבוד, הכנסותיה של האם אינן מגובות בתלושי שכר אני מניח כי לאם יכולת לעבוד בכח או בפועל ולהשתכר כ 7,000 ₪ לחודש. </w:t>
      </w:r>
    </w:p>
    <w:p w:rsidR="00E04097" w:rsidRPr="00E04097" w:rsidRDefault="00E04097" w:rsidP="00E04097">
      <w:pPr>
        <w:pStyle w:val="ad"/>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האם שוכרת דירה תמורת 3,100 ₪ לחודש וגם כאן אעריך את הוצאות המחייה שלה בכ 1,500 ₪ לחודש, כך שנותר לה סכום פנוי של כ 2,300 ₪ לחודש.</w:t>
      </w:r>
    </w:p>
    <w:p w:rsidR="00E04097" w:rsidRPr="00E04097" w:rsidRDefault="00E04097" w:rsidP="00E04097">
      <w:pPr>
        <w:pStyle w:val="ad"/>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יוצא, איפוא, כי יחס ההכנסות הפנויות של הצדדים עומד על 1:3 לטובת האב.</w:t>
      </w:r>
    </w:p>
    <w:p w:rsidR="00E04097" w:rsidRPr="00E04097" w:rsidRDefault="00E04097" w:rsidP="00E04097">
      <w:pPr>
        <w:pStyle w:val="ad"/>
        <w:rPr>
          <w:rFonts w:ascii="David" w:hAnsi="David" w:cs="David"/>
          <w:sz w:val="16"/>
          <w:szCs w:val="16"/>
          <w:rtl/>
        </w:rPr>
      </w:pPr>
    </w:p>
    <w:p w:rsidR="00E04097" w:rsidRDefault="00E04097" w:rsidP="00E04097">
      <w:pPr>
        <w:spacing w:line="360" w:lineRule="auto"/>
        <w:jc w:val="both"/>
        <w:rPr>
          <w:rFonts w:ascii="David" w:hAnsi="David"/>
          <w:b/>
          <w:bCs/>
          <w:rtl/>
        </w:rPr>
      </w:pPr>
      <w:r>
        <w:rPr>
          <w:rFonts w:ascii="David" w:hAnsi="David"/>
          <w:b/>
          <w:bCs/>
          <w:rtl/>
        </w:rPr>
        <w:t>ג.3 - צרכי הקטין:</w:t>
      </w:r>
    </w:p>
    <w:p w:rsidR="00E04097" w:rsidRPr="00E04097" w:rsidRDefault="00E04097" w:rsidP="00E04097">
      <w:pPr>
        <w:pStyle w:val="ad"/>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בהחלטתי למזונות זמניים מיום 4.5.23 נרשם כך: </w:t>
      </w:r>
      <w:r>
        <w:rPr>
          <w:rFonts w:ascii="David" w:hAnsi="David" w:cs="David"/>
          <w:b/>
          <w:bCs/>
          <w:sz w:val="24"/>
          <w:szCs w:val="24"/>
          <w:rtl/>
        </w:rPr>
        <w:t xml:space="preserve">"באשר להוצאות הקטין, ידיעה שיפוטית היא כי הוצאותיו ההכרחיות של קטין (אני מודע לכך כי המונח לקוח מהדין האישי ויחד עם זאת הוא מתייחס לצרכים הכרחיים של ממש כגון מזון, ביגוד בסיסי וכיוצ"ב) עומדות על סך של כ-1,300 ₪ לחודש וכך אני קובע, גם ביחס לקטין שבפני. באשר להוצאות מדורו, האם היא זו אשר מעניקה לקטין את מלוא המדור וחלקו עומד כאמור על 1,000 ₪. הוצאה נוספת היא הוצאת ההשגחה ("דמי טיפול"). כפי שקבעתי לעיל, אין ספק כי טיפול והשגחה בקטין בן כשנתיים ימים איננו דבר של מה בכך. הוא מאלץ את ההורה המטפל להשקיע כוחות נפש </w:t>
      </w:r>
      <w:r>
        <w:rPr>
          <w:rFonts w:ascii="David" w:hAnsi="David" w:cs="David"/>
          <w:b/>
          <w:bCs/>
          <w:sz w:val="24"/>
          <w:szCs w:val="24"/>
          <w:rtl/>
        </w:rPr>
        <w:lastRenderedPageBreak/>
        <w:t>ואף משאבים ממוניים בין בהוצאה ישירה ובין במניעת הכנסות ו/או מימוש עצמי. לגידולו של קטין יש מחיר ומחיר זה יכול גם להתבטא במונחים כלכליים. אשר על כן ובהתחשב בכך שהאם היא ההורה העיקרי המטפל בקטין וכי מלוא ולמצער החלק העיקרי הנכבד בהשגחה עליו, מוטל על כתפיה ובשים לב לכך, כי הקטין נמצא בגן עד שעה 18:00, אני קוצב את ההוצאה זו בסך של 700 ₪".</w:t>
      </w:r>
      <w:r>
        <w:rPr>
          <w:rFonts w:ascii="David" w:hAnsi="David" w:cs="David"/>
          <w:sz w:val="24"/>
          <w:szCs w:val="24"/>
          <w:rtl/>
        </w:rPr>
        <w:t xml:space="preserve"> </w:t>
      </w:r>
    </w:p>
    <w:p w:rsidR="00E04097" w:rsidRPr="00E04097" w:rsidRDefault="00E04097" w:rsidP="00E04097">
      <w:pPr>
        <w:pStyle w:val="ad"/>
        <w:spacing w:line="360" w:lineRule="auto"/>
        <w:ind w:left="567"/>
        <w:jc w:val="both"/>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האב טוען כי אין מקום לתשלום דמי טיפול הן כי אלו לקוחים מהדין האישי אשר אינו חל בעניינו, והן כיוון שהקטין מצוי במסגרת עד השעה 18:00 בערב כל יום. עוד ובנוסף טוען האב כי האם מסתייעת רבות בבני משפחתו ולכן אין לקבל את הטענה כי אין לה לאם במי להסתייע. אין ספק כי הקטין נמצא במסגרת מאוד מאפשרת מבחינת שעות, אך הטיפול בקטין הוא 24/7 ולכן יש לקחת בחשבון את ימי המחלה, את הנסיעות וההגעה עד למסגרת, כמו את העובדה שכאשר הקטין יפקוד את גן העיריה משנה הבאה צפוי יומו להתקצר.  </w:t>
      </w:r>
    </w:p>
    <w:p w:rsidR="00E04097" w:rsidRPr="00E04097" w:rsidRDefault="00E04097" w:rsidP="00E04097">
      <w:pPr>
        <w:pStyle w:val="ad"/>
        <w:rPr>
          <w:rFonts w:ascii="David" w:hAnsi="David" w:cs="David"/>
          <w:sz w:val="16"/>
          <w:szCs w:val="16"/>
        </w:rPr>
      </w:pPr>
    </w:p>
    <w:p w:rsidR="00E04097" w:rsidRDefault="00E04097" w:rsidP="00F54542">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בכל הכבוד, אין דעתי כדעת האב. גם ילד שאינו רך בשנים וגם ילד אשר שוהה בגן נזקק לזמן ומשאבים מההורה "המשמורן" שאין להתעלם מהם בכל פסיקת מזונות. אינני מכיר הורה </w:t>
      </w:r>
      <w:r w:rsidR="00F54542">
        <w:rPr>
          <w:rFonts w:ascii="David" w:hAnsi="David" w:cs="David" w:hint="cs"/>
          <w:sz w:val="24"/>
          <w:szCs w:val="24"/>
          <w:rtl/>
        </w:rPr>
        <w:t xml:space="preserve">כזה </w:t>
      </w:r>
      <w:r>
        <w:rPr>
          <w:rFonts w:ascii="David" w:hAnsi="David" w:cs="David"/>
          <w:sz w:val="24"/>
          <w:szCs w:val="24"/>
          <w:rtl/>
        </w:rPr>
        <w:t xml:space="preserve">שלא "זכה" לשיחת טלפון מהגן שתוצאתה סוף יום העבודה או סוף כל פעילות </w:t>
      </w:r>
      <w:r w:rsidR="000064BC">
        <w:rPr>
          <w:rFonts w:ascii="David" w:hAnsi="David" w:cs="David" w:hint="cs"/>
          <w:sz w:val="24"/>
          <w:szCs w:val="24"/>
          <w:rtl/>
        </w:rPr>
        <w:t xml:space="preserve">בה </w:t>
      </w:r>
      <w:r>
        <w:rPr>
          <w:rFonts w:ascii="David" w:hAnsi="David" w:cs="David"/>
          <w:sz w:val="24"/>
          <w:szCs w:val="24"/>
          <w:rtl/>
        </w:rPr>
        <w:t xml:space="preserve">היה ההורה שקוע. עוד אינני מכיר הורה </w:t>
      </w:r>
      <w:r w:rsidR="00F54542">
        <w:rPr>
          <w:rFonts w:ascii="David" w:hAnsi="David" w:cs="David" w:hint="cs"/>
          <w:sz w:val="24"/>
          <w:szCs w:val="24"/>
          <w:rtl/>
        </w:rPr>
        <w:t xml:space="preserve">כזה </w:t>
      </w:r>
      <w:r>
        <w:rPr>
          <w:rFonts w:ascii="David" w:hAnsi="David" w:cs="David"/>
          <w:sz w:val="24"/>
          <w:szCs w:val="24"/>
          <w:rtl/>
        </w:rPr>
        <w:t xml:space="preserve">שלא </w:t>
      </w:r>
      <w:r w:rsidR="00F54542">
        <w:rPr>
          <w:rFonts w:ascii="David" w:hAnsi="David" w:cs="David" w:hint="cs"/>
          <w:sz w:val="24"/>
          <w:szCs w:val="24"/>
          <w:rtl/>
        </w:rPr>
        <w:t xml:space="preserve">נאלץ להתרוצץ עם הילד בין רופאים ומרפאות במקום לעבוד או להיות במקום אחר. עוד אינני מכיר הורה כזה </w:t>
      </w:r>
      <w:r>
        <w:rPr>
          <w:rFonts w:ascii="David" w:hAnsi="David" w:cs="David"/>
          <w:sz w:val="24"/>
          <w:szCs w:val="24"/>
          <w:rtl/>
        </w:rPr>
        <w:t>שלא נדרש לפעילויות בגן, בבית הספר, ב</w:t>
      </w:r>
      <w:r w:rsidR="00F54542">
        <w:rPr>
          <w:rFonts w:ascii="David" w:hAnsi="David" w:cs="David" w:hint="cs"/>
          <w:sz w:val="24"/>
          <w:szCs w:val="24"/>
          <w:rtl/>
        </w:rPr>
        <w:t>ין ב</w:t>
      </w:r>
      <w:r>
        <w:rPr>
          <w:rFonts w:ascii="David" w:hAnsi="David" w:cs="David"/>
          <w:sz w:val="24"/>
          <w:szCs w:val="24"/>
          <w:rtl/>
        </w:rPr>
        <w:t>שעות הלימודים ו</w:t>
      </w:r>
      <w:r w:rsidR="00F54542">
        <w:rPr>
          <w:rFonts w:ascii="David" w:hAnsi="David" w:cs="David" w:hint="cs"/>
          <w:sz w:val="24"/>
          <w:szCs w:val="24"/>
          <w:rtl/>
        </w:rPr>
        <w:t xml:space="preserve">בין לאחר </w:t>
      </w:r>
      <w:r>
        <w:rPr>
          <w:rFonts w:ascii="David" w:hAnsi="David" w:cs="David"/>
          <w:sz w:val="24"/>
          <w:szCs w:val="24"/>
          <w:rtl/>
        </w:rPr>
        <w:t xml:space="preserve">שעות הלימודים וניכר כי אין צורך להוסיף ואין צורך להביא עוד </w:t>
      </w:r>
      <w:r w:rsidR="00F54542">
        <w:rPr>
          <w:rFonts w:ascii="David" w:hAnsi="David" w:cs="David" w:hint="cs"/>
          <w:sz w:val="24"/>
          <w:szCs w:val="24"/>
          <w:rtl/>
        </w:rPr>
        <w:t xml:space="preserve">ועוד </w:t>
      </w:r>
      <w:r>
        <w:rPr>
          <w:rFonts w:ascii="David" w:hAnsi="David" w:cs="David"/>
          <w:sz w:val="24"/>
          <w:szCs w:val="24"/>
          <w:rtl/>
        </w:rPr>
        <w:t xml:space="preserve">ראיות </w:t>
      </w:r>
      <w:r w:rsidR="00F54542">
        <w:rPr>
          <w:rFonts w:ascii="David" w:hAnsi="David" w:cs="David" w:hint="cs"/>
          <w:sz w:val="24"/>
          <w:szCs w:val="24"/>
          <w:rtl/>
        </w:rPr>
        <w:t xml:space="preserve">ודוגמאות </w:t>
      </w:r>
      <w:r>
        <w:rPr>
          <w:rFonts w:ascii="David" w:hAnsi="David" w:cs="David"/>
          <w:sz w:val="24"/>
          <w:szCs w:val="24"/>
          <w:rtl/>
        </w:rPr>
        <w:t>לשגרת ימ</w:t>
      </w:r>
      <w:r w:rsidR="00F54542">
        <w:rPr>
          <w:rFonts w:ascii="David" w:hAnsi="David" w:cs="David" w:hint="cs"/>
          <w:sz w:val="24"/>
          <w:szCs w:val="24"/>
          <w:rtl/>
        </w:rPr>
        <w:t xml:space="preserve">יו ולילותיו </w:t>
      </w:r>
      <w:r>
        <w:rPr>
          <w:rFonts w:ascii="David" w:hAnsi="David" w:cs="David"/>
          <w:sz w:val="24"/>
          <w:szCs w:val="24"/>
          <w:rtl/>
        </w:rPr>
        <w:t>הלא סדירה והמאתגרת של הורה "משמורן".</w:t>
      </w:r>
    </w:p>
    <w:p w:rsidR="00E04097" w:rsidRPr="00E04097" w:rsidRDefault="00E04097" w:rsidP="00E04097">
      <w:pPr>
        <w:pStyle w:val="ad"/>
        <w:rPr>
          <w:rFonts w:ascii="David" w:hAnsi="David" w:cs="David"/>
          <w:sz w:val="16"/>
          <w:szCs w:val="16"/>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אשר על כן, הטענה כי דמי טיפול </w:t>
      </w:r>
      <w:r w:rsidR="00F54542">
        <w:rPr>
          <w:rFonts w:ascii="David" w:hAnsi="David" w:cs="David" w:hint="cs"/>
          <w:sz w:val="24"/>
          <w:szCs w:val="24"/>
          <w:rtl/>
        </w:rPr>
        <w:t>או הצורך לשפות הורה אשר הילד</w:t>
      </w:r>
      <w:r w:rsidR="00042314">
        <w:rPr>
          <w:rFonts w:ascii="David" w:hAnsi="David" w:cs="David" w:hint="cs"/>
          <w:sz w:val="24"/>
          <w:szCs w:val="24"/>
          <w:rtl/>
        </w:rPr>
        <w:t xml:space="preserve"> עמו במרבית הזמן </w:t>
      </w:r>
      <w:r>
        <w:rPr>
          <w:rFonts w:ascii="David" w:hAnsi="David" w:cs="David"/>
          <w:sz w:val="24"/>
          <w:szCs w:val="24"/>
          <w:rtl/>
        </w:rPr>
        <w:t>מסתיימים עם סיום הגיל הרך</w:t>
      </w:r>
      <w:r w:rsidR="00042314">
        <w:rPr>
          <w:rFonts w:ascii="David" w:hAnsi="David" w:cs="David" w:hint="cs"/>
          <w:sz w:val="24"/>
          <w:szCs w:val="24"/>
          <w:rtl/>
        </w:rPr>
        <w:t>,</w:t>
      </w:r>
      <w:r>
        <w:rPr>
          <w:rFonts w:ascii="David" w:hAnsi="David" w:cs="David"/>
          <w:sz w:val="24"/>
          <w:szCs w:val="24"/>
          <w:rtl/>
        </w:rPr>
        <w:t xml:space="preserve"> היא טענה שרק מי שאינו מורגל בגידול ילדים יכול לסבור </w:t>
      </w:r>
      <w:r w:rsidR="00F54542">
        <w:rPr>
          <w:rFonts w:ascii="David" w:hAnsi="David" w:cs="David" w:hint="cs"/>
          <w:sz w:val="24"/>
          <w:szCs w:val="24"/>
          <w:rtl/>
        </w:rPr>
        <w:t xml:space="preserve">או להאמין </w:t>
      </w:r>
      <w:r>
        <w:rPr>
          <w:rFonts w:ascii="David" w:hAnsi="David" w:cs="David"/>
          <w:sz w:val="24"/>
          <w:szCs w:val="24"/>
          <w:rtl/>
        </w:rPr>
        <w:t xml:space="preserve">כי יש בה ממש. </w:t>
      </w:r>
    </w:p>
    <w:p w:rsidR="00E04097" w:rsidRPr="000064BC" w:rsidRDefault="00E04097" w:rsidP="00E04097">
      <w:pPr>
        <w:rPr>
          <w:rFonts w:ascii="David" w:hAnsi="David"/>
          <w:sz w:val="16"/>
          <w:szCs w:val="16"/>
        </w:rPr>
      </w:pPr>
    </w:p>
    <w:p w:rsidR="00E04097" w:rsidRDefault="00E04097" w:rsidP="00E04097">
      <w:pPr>
        <w:spacing w:line="360" w:lineRule="auto"/>
        <w:jc w:val="both"/>
        <w:rPr>
          <w:rFonts w:ascii="David" w:hAnsi="David"/>
          <w:b/>
          <w:bCs/>
          <w:rtl/>
        </w:rPr>
      </w:pPr>
      <w:r>
        <w:rPr>
          <w:rFonts w:ascii="David" w:hAnsi="David"/>
          <w:b/>
          <w:bCs/>
          <w:rtl/>
        </w:rPr>
        <w:t xml:space="preserve">ג.4 – אופן הנשיאה בהוצאות הקטין: </w:t>
      </w:r>
    </w:p>
    <w:p w:rsidR="00E04097" w:rsidRPr="000064BC" w:rsidRDefault="00E04097" w:rsidP="00E04097">
      <w:pPr>
        <w:rPr>
          <w:rFonts w:ascii="David" w:hAnsi="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t xml:space="preserve">בשים לב כי כלל הוצאותיו של הקטין (לא כולל הוצאות גן, מעון, צהרון ורפואה – להלן: </w:t>
      </w:r>
      <w:r w:rsidRPr="00F54542">
        <w:rPr>
          <w:rFonts w:ascii="Miriam" w:hAnsi="Miriam" w:cs="Miriam"/>
          <w:b/>
          <w:bCs/>
          <w:rtl/>
        </w:rPr>
        <w:t>יתר הוצאותיו של הקטין</w:t>
      </w:r>
      <w:r>
        <w:rPr>
          <w:rFonts w:ascii="David" w:hAnsi="David" w:cs="David"/>
          <w:sz w:val="24"/>
          <w:szCs w:val="24"/>
          <w:rtl/>
        </w:rPr>
        <w:t>) עומדות על 3,000 לחודש, ומאחר ויחס ההכנסות הפנויות עומד על 1:3, הרי שעל האב לשאת ב 2,250 ₪ לחודש. מאחר והקטין שוהה אצל האב כ 20% מזמנו, הרי שהאב נושא בפועל בכ 600 ₪ לחודש וכפועל יוצא, עליו להעביר לאם סך של 1,650 ₪ לחודש.</w:t>
      </w:r>
    </w:p>
    <w:p w:rsidR="00E04097" w:rsidRPr="000064BC" w:rsidRDefault="00E04097" w:rsidP="00E04097">
      <w:pPr>
        <w:pStyle w:val="ad"/>
        <w:spacing w:line="360" w:lineRule="auto"/>
        <w:ind w:left="567"/>
        <w:jc w:val="both"/>
        <w:rPr>
          <w:rFonts w:ascii="David" w:hAnsi="David" w:cs="David"/>
          <w:sz w:val="16"/>
          <w:szCs w:val="16"/>
        </w:rPr>
      </w:pPr>
    </w:p>
    <w:p w:rsidR="00E04097" w:rsidRDefault="00E04097" w:rsidP="00042314">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 xml:space="preserve">על פניו, הייתי אמור לחייב את האב לשאת ב 75% מיתר הוצאותיו של הקטין. יחד עם זאת, מאחר והתחשיב דלעיל הוא </w:t>
      </w:r>
      <w:r w:rsidRPr="00042314">
        <w:rPr>
          <w:rFonts w:ascii="David" w:hAnsi="David" w:cs="David"/>
          <w:i/>
          <w:iCs/>
          <w:sz w:val="24"/>
          <w:szCs w:val="24"/>
          <w:rtl/>
        </w:rPr>
        <w:t>תחשיב במספרים נמוכים</w:t>
      </w:r>
      <w:r>
        <w:rPr>
          <w:rFonts w:ascii="David" w:hAnsi="David" w:cs="David"/>
          <w:sz w:val="24"/>
          <w:szCs w:val="24"/>
          <w:rtl/>
        </w:rPr>
        <w:t xml:space="preserve"> שכל שינוי מינורי עשוי לגרור לשינוי משמעותי ביחס ההכנסות הפנויות (לדוגמא, האב יתגורר בגפו; האם תתגורר עם בן זוג; הצדדים ישכרו דירות אחרות; יחול שינוי </w:t>
      </w:r>
      <w:r w:rsidR="00042314">
        <w:rPr>
          <w:rFonts w:ascii="David" w:hAnsi="David" w:cs="David" w:hint="cs"/>
          <w:sz w:val="24"/>
          <w:szCs w:val="24"/>
          <w:rtl/>
        </w:rPr>
        <w:t xml:space="preserve">לא משמעותי </w:t>
      </w:r>
      <w:r>
        <w:rPr>
          <w:rFonts w:ascii="David" w:hAnsi="David" w:cs="David"/>
          <w:sz w:val="24"/>
          <w:szCs w:val="24"/>
          <w:rtl/>
        </w:rPr>
        <w:t>בשכר הפנוי שלהם), אני מוצא לחייב את האב ב 60% מיתר הוצאותיו של הקטין ואת האם ב 40% מכך.</w:t>
      </w:r>
    </w:p>
    <w:p w:rsidR="00E04097" w:rsidRDefault="00E04097" w:rsidP="00E04097">
      <w:pPr>
        <w:pStyle w:val="ad"/>
        <w:rPr>
          <w:rFonts w:ascii="David" w:hAnsi="David" w:cs="David"/>
          <w:sz w:val="24"/>
          <w:szCs w:val="24"/>
          <w:rtl/>
        </w:rPr>
      </w:pPr>
    </w:p>
    <w:p w:rsidR="000064BC" w:rsidRDefault="000064BC" w:rsidP="00E04097">
      <w:pPr>
        <w:pStyle w:val="ad"/>
        <w:rPr>
          <w:rFonts w:ascii="David" w:hAnsi="David" w:cs="David"/>
          <w:sz w:val="24"/>
          <w:szCs w:val="24"/>
        </w:rPr>
      </w:pPr>
    </w:p>
    <w:p w:rsidR="00E04097" w:rsidRDefault="00E04097" w:rsidP="00042314">
      <w:pPr>
        <w:pStyle w:val="ad"/>
        <w:numPr>
          <w:ilvl w:val="0"/>
          <w:numId w:val="1"/>
        </w:numPr>
        <w:spacing w:line="360" w:lineRule="auto"/>
        <w:ind w:left="567" w:hanging="567"/>
        <w:jc w:val="both"/>
        <w:rPr>
          <w:rFonts w:ascii="David" w:hAnsi="David" w:cs="David"/>
          <w:sz w:val="24"/>
          <w:szCs w:val="24"/>
          <w:rtl/>
        </w:rPr>
      </w:pPr>
      <w:r>
        <w:rPr>
          <w:rFonts w:ascii="David" w:hAnsi="David" w:cs="David"/>
          <w:sz w:val="24"/>
          <w:szCs w:val="24"/>
          <w:rtl/>
        </w:rPr>
        <w:lastRenderedPageBreak/>
        <w:t>הערה טרם נעילה – במהלך הדיון הציג האב דף פייסבוק ע"ש האם ובו פרסום של עסק למכירת קפה ולטענתו, האם מחזיקה בעסק זה ומשתכרת ממנו. לאחר ששמעתי את הצדדים, לא התרשמתי כי לאם הכנסות מאותו עסק שאף איננו רשום בישראל</w:t>
      </w:r>
      <w:r w:rsidR="00042314">
        <w:rPr>
          <w:rFonts w:ascii="David" w:hAnsi="David" w:cs="David" w:hint="cs"/>
          <w:sz w:val="24"/>
          <w:szCs w:val="24"/>
          <w:rtl/>
        </w:rPr>
        <w:t>.</w:t>
      </w:r>
      <w:r>
        <w:rPr>
          <w:rFonts w:ascii="David" w:hAnsi="David" w:cs="David"/>
          <w:sz w:val="24"/>
          <w:szCs w:val="24"/>
          <w:rtl/>
        </w:rPr>
        <w:t xml:space="preserve"> אמת</w:t>
      </w:r>
      <w:r w:rsidR="00042314">
        <w:rPr>
          <w:rFonts w:ascii="David" w:hAnsi="David" w:cs="David" w:hint="cs"/>
          <w:sz w:val="24"/>
          <w:szCs w:val="24"/>
          <w:rtl/>
        </w:rPr>
        <w:t xml:space="preserve"> </w:t>
      </w:r>
      <w:r>
        <w:rPr>
          <w:rFonts w:ascii="David" w:hAnsi="David" w:cs="David"/>
          <w:sz w:val="24"/>
          <w:szCs w:val="24"/>
          <w:rtl/>
        </w:rPr>
        <w:t xml:space="preserve">הדבר כי האם לא דיווחה על אותו העסק ואולם לאחר בחינת עדותה לא מצאתי לקבוע כי היא מסתירה הכנסה כלשהי מאותו העסק. </w:t>
      </w:r>
    </w:p>
    <w:p w:rsidR="00E04097" w:rsidRPr="000064BC" w:rsidRDefault="00E04097" w:rsidP="00E04097">
      <w:pPr>
        <w:pStyle w:val="ad"/>
        <w:rPr>
          <w:rFonts w:ascii="David" w:hAnsi="David" w:cs="David"/>
          <w:sz w:val="16"/>
          <w:szCs w:val="16"/>
        </w:rPr>
      </w:pPr>
    </w:p>
    <w:p w:rsidR="00E04097" w:rsidRPr="000064BC" w:rsidRDefault="00E04097" w:rsidP="00E04097">
      <w:pPr>
        <w:spacing w:line="360" w:lineRule="auto"/>
        <w:jc w:val="both"/>
        <w:rPr>
          <w:rFonts w:ascii="David" w:hAnsi="David"/>
          <w:b/>
          <w:bCs/>
          <w:rtl/>
        </w:rPr>
      </w:pPr>
      <w:r w:rsidRPr="000064BC">
        <w:rPr>
          <w:rFonts w:ascii="David" w:hAnsi="David"/>
          <w:b/>
          <w:bCs/>
          <w:rtl/>
        </w:rPr>
        <w:t>ד' – סיכומם של דברים:</w:t>
      </w:r>
    </w:p>
    <w:p w:rsidR="00E04097" w:rsidRPr="000064BC" w:rsidRDefault="00E04097" w:rsidP="00E04097">
      <w:pPr>
        <w:pStyle w:val="ad"/>
        <w:spacing w:line="360" w:lineRule="auto"/>
        <w:ind w:left="567"/>
        <w:jc w:val="both"/>
        <w:rPr>
          <w:rFonts w:ascii="David" w:hAnsi="David" w:cs="David"/>
          <w:sz w:val="16"/>
          <w:szCs w:val="16"/>
          <w:rtl/>
        </w:rPr>
      </w:pPr>
    </w:p>
    <w:p w:rsidR="00E04097" w:rsidRDefault="00E04097" w:rsidP="00E04097">
      <w:pPr>
        <w:pStyle w:val="ad"/>
        <w:numPr>
          <w:ilvl w:val="0"/>
          <w:numId w:val="1"/>
        </w:numPr>
        <w:spacing w:line="360" w:lineRule="auto"/>
        <w:ind w:left="567" w:hanging="567"/>
        <w:jc w:val="both"/>
        <w:rPr>
          <w:rFonts w:ascii="David" w:hAnsi="David" w:cs="David"/>
          <w:sz w:val="24"/>
          <w:szCs w:val="24"/>
        </w:rPr>
      </w:pPr>
      <w:r>
        <w:rPr>
          <w:rFonts w:ascii="David" w:hAnsi="David" w:cs="David"/>
          <w:sz w:val="24"/>
          <w:szCs w:val="24"/>
          <w:rtl/>
        </w:rPr>
        <w:t>אשר על כן ומכל המקובץ, הריני להורות:</w:t>
      </w:r>
    </w:p>
    <w:p w:rsidR="00E04097" w:rsidRPr="000064BC" w:rsidRDefault="00E04097" w:rsidP="00E04097">
      <w:pPr>
        <w:pStyle w:val="ad"/>
        <w:spacing w:line="360" w:lineRule="auto"/>
        <w:ind w:left="567"/>
        <w:jc w:val="both"/>
        <w:rPr>
          <w:rFonts w:ascii="David" w:hAnsi="David" w:cs="David"/>
          <w:sz w:val="16"/>
          <w:szCs w:val="16"/>
        </w:rPr>
      </w:pPr>
    </w:p>
    <w:p w:rsidR="00E04097" w:rsidRDefault="00E04097" w:rsidP="00E04097">
      <w:pPr>
        <w:pStyle w:val="ad"/>
        <w:numPr>
          <w:ilvl w:val="0"/>
          <w:numId w:val="7"/>
        </w:numPr>
        <w:spacing w:line="360" w:lineRule="auto"/>
        <w:jc w:val="both"/>
        <w:rPr>
          <w:rFonts w:ascii="David" w:hAnsi="David" w:cs="David"/>
          <w:sz w:val="24"/>
          <w:szCs w:val="24"/>
          <w:rtl/>
        </w:rPr>
      </w:pPr>
      <w:r>
        <w:rPr>
          <w:rFonts w:ascii="David" w:hAnsi="David" w:cs="David"/>
          <w:sz w:val="24"/>
          <w:szCs w:val="24"/>
          <w:rtl/>
        </w:rPr>
        <w:t>האב ישלם למזונות הקטין ומדורו סך של 1,650 ₪ לחודש. הסכום ישולם החל מיום 5.1.24 ובכל 5 לכל חודש לאחריו. דמי המזונות ישולמו עד מלאת לילד 18 שנים או עד לסיום י"ב כתות (לפי המאוחר).</w:t>
      </w:r>
    </w:p>
    <w:p w:rsidR="00E04097" w:rsidRDefault="00E04097" w:rsidP="00E04097">
      <w:pPr>
        <w:pStyle w:val="ad"/>
        <w:numPr>
          <w:ilvl w:val="0"/>
          <w:numId w:val="7"/>
        </w:numPr>
        <w:spacing w:line="360" w:lineRule="auto"/>
        <w:jc w:val="both"/>
        <w:rPr>
          <w:rFonts w:ascii="David" w:hAnsi="David" w:cs="David"/>
          <w:sz w:val="24"/>
          <w:szCs w:val="24"/>
        </w:rPr>
      </w:pPr>
      <w:r>
        <w:rPr>
          <w:rFonts w:ascii="David" w:hAnsi="David" w:cs="David"/>
          <w:sz w:val="24"/>
          <w:szCs w:val="24"/>
          <w:rtl/>
        </w:rPr>
        <w:t>האב יישא ב 60% מיתר הוצאותיו של הקטין, כאמור בסעיף 21 לעיל.</w:t>
      </w:r>
    </w:p>
    <w:p w:rsidR="00E04097" w:rsidRDefault="00E04097" w:rsidP="00E04097">
      <w:pPr>
        <w:pStyle w:val="ad"/>
        <w:numPr>
          <w:ilvl w:val="0"/>
          <w:numId w:val="7"/>
        </w:numPr>
        <w:spacing w:line="360" w:lineRule="auto"/>
        <w:jc w:val="both"/>
        <w:rPr>
          <w:rFonts w:ascii="David" w:hAnsi="David" w:cs="David"/>
          <w:sz w:val="24"/>
          <w:szCs w:val="24"/>
        </w:rPr>
      </w:pPr>
      <w:r>
        <w:rPr>
          <w:rFonts w:ascii="David" w:hAnsi="David" w:cs="David"/>
          <w:sz w:val="24"/>
          <w:szCs w:val="24"/>
          <w:rtl/>
        </w:rPr>
        <w:t>חרף כי דמי המזונות הזמניים גבוהים מהקבוע בפסק דין זה, ומכח העיקרון שאין להשיב מזונות שנאכלו וגם משום הסכומים הלא משמעותיים, אינני קובע השבה של ההפרש.</w:t>
      </w:r>
    </w:p>
    <w:p w:rsidR="00E04097" w:rsidRDefault="00E04097" w:rsidP="00E04097">
      <w:pPr>
        <w:pStyle w:val="ad"/>
        <w:numPr>
          <w:ilvl w:val="0"/>
          <w:numId w:val="7"/>
        </w:numPr>
        <w:spacing w:line="360" w:lineRule="auto"/>
        <w:jc w:val="both"/>
        <w:rPr>
          <w:rFonts w:ascii="David" w:hAnsi="David" w:cs="David"/>
          <w:sz w:val="24"/>
          <w:szCs w:val="24"/>
        </w:rPr>
      </w:pPr>
      <w:r>
        <w:rPr>
          <w:rFonts w:ascii="David" w:hAnsi="David" w:cs="David"/>
          <w:sz w:val="24"/>
          <w:szCs w:val="24"/>
          <w:rtl/>
        </w:rPr>
        <w:t>לנוכח התוצאה, אינני מחייב בהוצאות</w:t>
      </w:r>
    </w:p>
    <w:p w:rsidR="00E04097" w:rsidRDefault="00E04097" w:rsidP="00E04097">
      <w:pPr>
        <w:pStyle w:val="ad"/>
        <w:numPr>
          <w:ilvl w:val="0"/>
          <w:numId w:val="7"/>
        </w:numPr>
        <w:spacing w:line="360" w:lineRule="auto"/>
        <w:jc w:val="both"/>
        <w:rPr>
          <w:rFonts w:ascii="David" w:hAnsi="David" w:cs="David"/>
          <w:sz w:val="24"/>
          <w:szCs w:val="24"/>
        </w:rPr>
      </w:pPr>
      <w:r>
        <w:rPr>
          <w:rFonts w:ascii="David" w:hAnsi="David" w:cs="David"/>
          <w:sz w:val="24"/>
          <w:szCs w:val="24"/>
          <w:rtl/>
        </w:rPr>
        <w:t>פסק הדין מותר בפרסום בהשמטת פרטים מזהים.</w:t>
      </w:r>
    </w:p>
    <w:p w:rsidR="00E04097" w:rsidRDefault="00E04097" w:rsidP="00E04097">
      <w:pPr>
        <w:pStyle w:val="ad"/>
        <w:numPr>
          <w:ilvl w:val="0"/>
          <w:numId w:val="7"/>
        </w:numPr>
        <w:spacing w:line="360" w:lineRule="auto"/>
        <w:jc w:val="both"/>
        <w:rPr>
          <w:rFonts w:ascii="David" w:hAnsi="David" w:cs="David"/>
          <w:sz w:val="24"/>
          <w:szCs w:val="24"/>
        </w:rPr>
      </w:pPr>
      <w:r>
        <w:rPr>
          <w:rFonts w:ascii="David" w:hAnsi="David" w:cs="David"/>
          <w:sz w:val="24"/>
          <w:szCs w:val="24"/>
          <w:rtl/>
        </w:rPr>
        <w:t>כל התיקים ייסגרו.</w:t>
      </w:r>
    </w:p>
    <w:p w:rsidR="00E04097" w:rsidRDefault="00E04097" w:rsidP="00E04097">
      <w:pPr>
        <w:spacing w:line="360" w:lineRule="auto"/>
        <w:jc w:val="both"/>
        <w:rPr>
          <w:rFonts w:ascii="Arial" w:hAnsi="Arial"/>
          <w:noProof w:val="0"/>
        </w:rPr>
      </w:pPr>
    </w:p>
    <w:p w:rsidR="00E04097" w:rsidRDefault="00E04097" w:rsidP="00E0409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ה' טבת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17 דצמבר 2023</w:t>
          </w:r>
        </w:sdtContent>
      </w:sdt>
      <w:r>
        <w:rPr>
          <w:rFonts w:ascii="Arial" w:hAnsi="Arial"/>
          <w:noProof w:val="0"/>
          <w:rtl/>
        </w:rPr>
        <w:t>, בהעדר הצדדים.</w:t>
      </w:r>
    </w:p>
    <w:p w:rsidR="00E04097" w:rsidRDefault="00E04097" w:rsidP="00E04097">
      <w:pPr>
        <w:spacing w:line="360" w:lineRule="auto"/>
        <w:jc w:val="both"/>
        <w:rPr>
          <w:rFonts w:ascii="Arial" w:hAnsi="Arial"/>
          <w:noProof w:val="0"/>
          <w:rtl/>
        </w:rPr>
      </w:pPr>
    </w:p>
    <w:p w:rsidR="00E04097" w:rsidRDefault="0059114E" w:rsidP="00E04097">
      <w:pPr>
        <w:spacing w:line="360" w:lineRule="auto"/>
        <w:ind w:left="3600" w:firstLine="720"/>
        <w:jc w:val="both"/>
      </w:pPr>
      <w:sdt>
        <w:sdtPr>
          <w:rPr>
            <w:rtl/>
          </w:rPr>
          <w:alias w:val="MergeField"/>
          <w:tag w:val="1237"/>
          <w:id w:val="-491954430"/>
        </w:sdtPr>
        <w:sdtEndPr/>
        <w:sdtContent>
          <w:r w:rsidR="00D77F22">
            <w:drawing>
              <wp:inline distT="0" distB="0" distL="0" distR="0" wp14:editId="50D07946">
                <wp:extent cx="28098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809875" cy="838200"/>
                        </a:xfrm>
                        <a:prstGeom prst="rect">
                          <a:avLst/>
                        </a:prstGeom>
                      </pic:spPr>
                    </pic:pic>
                  </a:graphicData>
                </a:graphic>
              </wp:inline>
            </w:drawing>
          </w:r>
        </w:sdtContent>
      </w:sdt>
    </w:p>
    <w:p w:rsidR="00E04097" w:rsidRDefault="00E04097" w:rsidP="00E04097">
      <w:pPr>
        <w:spacing w:line="360" w:lineRule="auto"/>
        <w:ind w:left="3600" w:firstLine="720"/>
        <w:jc w:val="both"/>
        <w:rPr>
          <w:rFonts w:ascii="Arial" w:hAnsi="Arial"/>
          <w:noProof w:val="0"/>
          <w:rtl/>
        </w:rPr>
      </w:pPr>
    </w:p>
    <w:p w:rsidR="00E04097" w:rsidRDefault="00E04097" w:rsidP="00E04097">
      <w:pPr>
        <w:spacing w:line="360" w:lineRule="auto"/>
        <w:jc w:val="both"/>
        <w:rPr>
          <w:rFonts w:ascii="Arial" w:hAnsi="Arial"/>
          <w:noProof w:val="0"/>
          <w:rtl/>
        </w:rPr>
      </w:pPr>
    </w:p>
    <w:p w:rsidR="00E04097" w:rsidRDefault="00E04097" w:rsidP="00E04097">
      <w:pPr>
        <w:spacing w:line="360" w:lineRule="auto"/>
        <w:jc w:val="both"/>
        <w:rPr>
          <w:rFonts w:ascii="Arial" w:hAnsi="Arial"/>
          <w:noProof w:val="0"/>
          <w:rtl/>
        </w:rPr>
      </w:pPr>
    </w:p>
    <w:p w:rsidR="00E04097" w:rsidRDefault="00E04097" w:rsidP="00E04097">
      <w:pPr>
        <w:spacing w:line="360" w:lineRule="auto"/>
        <w:jc w:val="both"/>
        <w:rPr>
          <w:rFonts w:ascii="Arial" w:hAnsi="Arial"/>
          <w:noProof w:val="0"/>
          <w:rtl/>
        </w:rPr>
      </w:pPr>
    </w:p>
    <w:p w:rsidR="00E04097" w:rsidRDefault="00E04097" w:rsidP="00E04097">
      <w:pPr>
        <w:spacing w:line="360" w:lineRule="auto"/>
        <w:jc w:val="both"/>
        <w:rPr>
          <w:rFonts w:ascii="Arial" w:hAnsi="Arial"/>
          <w:noProof w:val="0"/>
          <w:rtl/>
        </w:rPr>
      </w:pPr>
    </w:p>
    <w:sectPr w:rsidR="00E04097"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114E" w:rsidRDefault="0059114E">
      <w:r>
        <w:separator/>
      </w:r>
    </w:p>
  </w:endnote>
  <w:endnote w:type="continuationSeparator" w:id="0">
    <w:p w:rsidR="0059114E" w:rsidRDefault="00591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12F" w:rsidRDefault="0012212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44510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445102">
      <w:rPr>
        <w:rStyle w:val="ab"/>
        <w:rtl/>
      </w:rPr>
      <w:t>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12F" w:rsidRDefault="0012212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114E" w:rsidRDefault="0059114E">
      <w:r>
        <w:separator/>
      </w:r>
    </w:p>
  </w:footnote>
  <w:footnote w:type="continuationSeparator" w:id="0">
    <w:p w:rsidR="0059114E" w:rsidRDefault="00591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12F" w:rsidRDefault="0012212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2914D6" w:rsidTr="0002289A">
      <w:trPr>
        <w:trHeight w:hRule="exact" w:val="418"/>
        <w:jc w:val="center"/>
      </w:trPr>
      <w:sdt>
        <w:sdtPr>
          <w:rPr>
            <w:rtl/>
          </w:rPr>
          <w:alias w:val="1174"/>
          <w:tag w:val="1174"/>
          <w:id w:val="222578223"/>
          <w:text/>
        </w:sdtPr>
        <w:sdtEndPr/>
        <w:sdtContent>
          <w:tc>
            <w:tcPr>
              <w:tcW w:w="8505" w:type="dxa"/>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rsidTr="0002289A">
      <w:trPr>
        <w:trHeight w:val="337"/>
        <w:jc w:val="center"/>
      </w:trPr>
      <w:tc>
        <w:tcPr>
          <w:tcW w:w="8505" w:type="dxa"/>
        </w:tcPr>
        <w:p w:rsidR="002914D6" w:rsidRDefault="0059114E" w:rsidP="00456D04">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48895-01-23</w:t>
              </w:r>
            </w:sdtContent>
          </w:sdt>
          <w:r w:rsidR="00011212">
            <w:rPr>
              <w:b/>
              <w:bCs/>
              <w:noProof w:val="0"/>
              <w:sz w:val="26"/>
              <w:szCs w:val="26"/>
              <w:rtl/>
            </w:rPr>
            <w:t xml:space="preserve"> </w:t>
          </w:r>
          <w:sdt>
            <w:sdtPr>
              <w:rPr>
                <w:rtl/>
              </w:rPr>
              <w:alias w:val="1172"/>
              <w:tag w:val="1172"/>
              <w:id w:val="-673653942"/>
              <w:text w:multiLine="1"/>
            </w:sdtPr>
            <w:sdtEndPr/>
            <w:sdtContent>
              <w:r w:rsidR="00456D04">
                <w:rPr>
                  <w:rFonts w:hint="cs"/>
                  <w:b/>
                  <w:bCs/>
                  <w:noProof w:val="0"/>
                  <w:sz w:val="26"/>
                  <w:szCs w:val="26"/>
                  <w:rtl/>
                </w:rPr>
                <w:t xml:space="preserve">פלונית </w:t>
              </w:r>
              <w:r w:rsidR="00BD18F5">
                <w:rPr>
                  <w:b/>
                  <w:bCs/>
                  <w:noProof w:val="0"/>
                  <w:sz w:val="26"/>
                  <w:szCs w:val="26"/>
                  <w:rtl/>
                </w:rPr>
                <w:t>נ' א</w:t>
              </w:r>
              <w:r w:rsidR="00456D04">
                <w:rPr>
                  <w:rFonts w:hint="cs"/>
                  <w:b/>
                  <w:bCs/>
                  <w:noProof w:val="0"/>
                  <w:sz w:val="26"/>
                  <w:szCs w:val="26"/>
                  <w:rtl/>
                </w:rPr>
                <w:t>למוני</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12F" w:rsidRDefault="001221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74148"/>
    <w:multiLevelType w:val="hybridMultilevel"/>
    <w:tmpl w:val="D3A8755E"/>
    <w:lvl w:ilvl="0" w:tplc="111252C6">
      <w:start w:val="5"/>
      <w:numFmt w:val="bullet"/>
      <w:lvlText w:val="-"/>
      <w:lvlJc w:val="left"/>
      <w:pPr>
        <w:ind w:left="1080" w:hanging="360"/>
      </w:pPr>
      <w:rPr>
        <w:rFonts w:ascii="David" w:eastAsiaTheme="minorHAnsi" w:hAnsi="David"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5D387216"/>
    <w:multiLevelType w:val="hybridMultilevel"/>
    <w:tmpl w:val="386CDE6A"/>
    <w:lvl w:ilvl="0" w:tplc="7DBAD294">
      <w:start w:val="1"/>
      <w:numFmt w:val="hebrew1"/>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670E42DA"/>
    <w:multiLevelType w:val="hybridMultilevel"/>
    <w:tmpl w:val="45F406EA"/>
    <w:lvl w:ilvl="0" w:tplc="B91288FC">
      <w:start w:val="1"/>
      <w:numFmt w:val="hebrew1"/>
      <w:lvlText w:val="%1."/>
      <w:lvlJc w:val="left"/>
      <w:pPr>
        <w:ind w:left="927" w:hanging="360"/>
      </w:pPr>
      <w:rPr>
        <w:rFonts w:ascii="David" w:hAnsi="David" w:cs="David" w:hint="default"/>
        <w:sz w:val="24"/>
        <w:szCs w:val="24"/>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B323C22"/>
    <w:multiLevelType w:val="hybridMultilevel"/>
    <w:tmpl w:val="C26C28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DCE0CE3"/>
    <w:multiLevelType w:val="hybridMultilevel"/>
    <w:tmpl w:val="3DAA3602"/>
    <w:lvl w:ilvl="0" w:tplc="7C928D26">
      <w:start w:val="1"/>
      <w:numFmt w:val="hebrew1"/>
      <w:lvlText w:val="%1."/>
      <w:lvlJc w:val="left"/>
      <w:pPr>
        <w:ind w:left="927" w:hanging="360"/>
      </w:pPr>
      <w:rPr>
        <w:lang w:val="en-US"/>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315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31591&amp;lt;/CaseID&amp;gt;_x000d__x000a_        &amp;lt;CaseMonth&amp;gt;1&amp;lt;/CaseMonth&amp;gt;_x000d__x000a_        &amp;lt;CaseYear&amp;gt;2023&amp;lt;/CaseYear&amp;gt;_x000d__x000a_        &amp;lt;CaseNumber&amp;gt;48895&amp;lt;/CaseNumber&amp;gt;_x000d__x000a_        &amp;lt;NumeratorGroupID&amp;gt;1&amp;lt;/NumeratorGroupID&amp;gt;_x000d__x000a_        &amp;lt;CaseName&amp;gt;אקניו נ&amp;#39; אובנוזי&amp;lt;/CaseName&amp;gt;_x000d__x000a_        &amp;lt;CourtID&amp;gt;33&amp;lt;/CourtID&amp;gt;_x000d__x000a_        &amp;lt;CaseTypeID&amp;gt;10262&amp;lt;/CaseTypeID&amp;gt;_x000d__x000a_        &amp;lt;CaseInterestID&amp;gt;1011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895-01-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9-20T12:00:00+03:00&amp;lt;/CasePreviousSessionDate&amp;gt;_x000d__x000a_        &amp;lt;CaseNextDeterminingTask&amp;gt;34&amp;lt;/CaseNextDeterminingTask&amp;gt;_x000d__x000a_        &amp;lt;TemporaryAidStatus /&amp;gt;_x000d__x000a_        &amp;lt;CaseOpenDate&amp;gt;2023-01-19T12:3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31591&amp;lt;/CaseID&amp;gt;_x000d__x000a_        &amp;lt;CaseMonth&amp;gt;1&amp;lt;/CaseMonth&amp;gt;_x000d__x000a_        &amp;lt;CaseYear&amp;gt;2023&amp;lt;/CaseYear&amp;gt;_x000d__x000a_        &amp;lt;CaseNumber&amp;gt;48895&amp;lt;/CaseNumber&amp;gt;_x000d__x000a_        &amp;lt;NumeratorGroupID&amp;gt;1&amp;lt;/NumeratorGroupID&amp;gt;_x000d__x000a_        &amp;lt;CaseName&amp;gt;אקניו נ&amp;#39; אובנוזי&amp;lt;/CaseName&amp;gt;_x000d__x000a_        &amp;lt;CourtID&amp;gt;33&amp;lt;/CourtID&amp;gt;_x000d__x000a_        &amp;lt;CaseTypeID&amp;gt;10262&amp;lt;/CaseTypeID&amp;gt;_x000d__x000a_        &amp;lt;CaseInterestID&amp;gt;10118&amp;lt;/CaseInterestID&amp;gt;_x000d__x000a_        &amp;lt;CaseJudgeName&amp;gt;יהורם שק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8895-01-23&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34&amp;lt;/CaseNextDeterminingTask&amp;gt;_x000d__x000a_        &amp;lt;CaseOpenDate&amp;gt;2023-01-19T12:3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יהורם&amp;lt;/CaseJudgeFirstName&amp;gt;_x000d__x000a_        &amp;lt;CaseJudgeLastName&amp;gt;שקד&amp;lt;/CaseJudgeLastName&amp;gt;_x000d__x000a_        &amp;lt;JudicalPersonID&amp;gt;02469387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17T08:55:14.4333658+02:00&amp;lt;/DecisionStatusChangeDate&amp;gt;_x000d__x000a_        &amp;lt;DecisionSignatureDate&amp;gt;2023-12-17T08:55:14.4333658+02:00&amp;lt;/DecisionSignatureDate&amp;gt;_x000d__x000a_        &amp;lt;DecisionSignatureUserID&amp;gt;024693871@GOV.IL&amp;lt;/DecisionSignatureUserID&amp;gt;_x000d__x000a_        &amp;lt;DecisionCreateDate&amp;gt;2023-12-17T08:55:14.4333658+02:00&amp;lt;/DecisionCreateDate&amp;gt;_x000d__x000a_        &amp;lt;DecisionChangeDate&amp;gt;2023-12-17T08:55:14.4333658+02:00&amp;lt;/DecisionChangeDate&amp;gt;_x000d__x000a_        &amp;lt;DecisionChangeUserID&amp;gt;02469387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69387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4693871@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3159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3"/>
    <w:docVar w:name="NGCS.TemplateProceedingID" w:val="3"/>
    <w:docVar w:name="SelectedDocumentID" w:val="0"/>
    <w:docVar w:name="WordClientAssemblyName" w:val="NGCS.Decision.ClientWordBL"/>
    <w:docVar w:name="WordClientClassName" w:val="NGCS.Decision.ClientWordBL.DecisionClient"/>
  </w:docVars>
  <w:rsids>
    <w:rsidRoot w:val="002914D6"/>
    <w:rsid w:val="000064BC"/>
    <w:rsid w:val="00011212"/>
    <w:rsid w:val="0002289A"/>
    <w:rsid w:val="00042314"/>
    <w:rsid w:val="0012212F"/>
    <w:rsid w:val="001579C7"/>
    <w:rsid w:val="001E2CD4"/>
    <w:rsid w:val="00265648"/>
    <w:rsid w:val="002914D6"/>
    <w:rsid w:val="002F2ABE"/>
    <w:rsid w:val="002F5307"/>
    <w:rsid w:val="003B354C"/>
    <w:rsid w:val="00445102"/>
    <w:rsid w:val="00456D04"/>
    <w:rsid w:val="004F2871"/>
    <w:rsid w:val="0059114E"/>
    <w:rsid w:val="00666802"/>
    <w:rsid w:val="006C4051"/>
    <w:rsid w:val="006D5D73"/>
    <w:rsid w:val="007C1077"/>
    <w:rsid w:val="007C6BD7"/>
    <w:rsid w:val="007E28DF"/>
    <w:rsid w:val="008155C7"/>
    <w:rsid w:val="00822AA5"/>
    <w:rsid w:val="0083531C"/>
    <w:rsid w:val="008D4161"/>
    <w:rsid w:val="0091072C"/>
    <w:rsid w:val="009108D7"/>
    <w:rsid w:val="00941A6F"/>
    <w:rsid w:val="009959FE"/>
    <w:rsid w:val="00A46BB9"/>
    <w:rsid w:val="00A83FB3"/>
    <w:rsid w:val="00BA3EAA"/>
    <w:rsid w:val="00BD18F5"/>
    <w:rsid w:val="00BD5B6B"/>
    <w:rsid w:val="00C15BE6"/>
    <w:rsid w:val="00C40239"/>
    <w:rsid w:val="00C66DF4"/>
    <w:rsid w:val="00C828F4"/>
    <w:rsid w:val="00C931BD"/>
    <w:rsid w:val="00D1532B"/>
    <w:rsid w:val="00D358FE"/>
    <w:rsid w:val="00D54B3A"/>
    <w:rsid w:val="00D77F22"/>
    <w:rsid w:val="00E04097"/>
    <w:rsid w:val="00E16B7B"/>
    <w:rsid w:val="00E9298F"/>
    <w:rsid w:val="00EA522C"/>
    <w:rsid w:val="00F051E5"/>
    <w:rsid w:val="00F50E07"/>
    <w:rsid w:val="00F54542"/>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69C449B-A15D-4AB4-A508-A442ACAA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B354C"/>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236722">
      <w:bodyDiv w:val="1"/>
      <w:marLeft w:val="0"/>
      <w:marRight w:val="0"/>
      <w:marTop w:val="0"/>
      <w:marBottom w:val="0"/>
      <w:divBdr>
        <w:top w:val="none" w:sz="0" w:space="0" w:color="auto"/>
        <w:left w:val="none" w:sz="0" w:space="0" w:color="auto"/>
        <w:bottom w:val="none" w:sz="0" w:space="0" w:color="auto"/>
        <w:right w:val="none" w:sz="0" w:space="0" w:color="auto"/>
      </w:divBdr>
    </w:div>
    <w:div w:id="136898625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עדי לנקרי</FullName>
        <FirstName>עדי</FirstName>
        <LastName>לנקרי</LastName>
        <PartyPropertyName/>
        <AuthenticationTypeAndNumber>מ.ר. 52264</AuthenticationTypeAndNumber>
        <RepresentatedOrRepresentativesNames>פרנסיס אקווליזה אובנוזי</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253349802</CasePartyID>
        <PartyTypeID>2</PartyTypeID>
        <ActivityStatusID>1</ActivityStatusID>
        <PartyAliasID>21</PartyAliasID>
        <PartyAliasName>בא כוח נתבעים</PartyAliasName>
        <LegalEntityID>33129443</LegalEntityID>
        <CaseLegalEntityID>123630099</CaseLegalEntityID>
        <AuthenticationTypeID>4</AuthenticationTypeID>
        <AuthenticationTypeName>מ.ר.</AuthenticationTypeName>
        <LegalEntityNumber>52264</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בן גוריון 1 בני ברק מגדל ב.ס.ר 2</FullAddress>
        <EmailAddress>adi@lh-law.co.il</EmailAddress>
        <MotionID>0</MotionID>
        <CasePleaID>0</CasePleaID>
        <LinkedCaseID>0</LinkedCaseID>
        <PartyID>2</PartyID>
        <CasePartyCategoryID>2</CasePartyCategoryID>
        <LegalEntityAddressID>45940422</LegalEntityAddressID>
        <LegalEntityEmailAddressID>67965404</LegalEntityEmailAddressID>
        <PleaTypeID>4</PleaTypeID>
        <LawyerOfficeName>משרד עו"ד עדי לנקרי</LawyerOfficeName>
        <LawyerOfficeID>33129444</LawyerOfficeID>
        <GroupPartyAlias/>
        <IsConverted>false</IsConverted>
        <LegalEntityNameID>34919814</LegalEntityNameID>
        <RepresentatedNamesOfAssistant/>
        <LegalEntityTypeID>4</LegalEntityTypeID>
        <IsVerdictExists>false</IsVerdictExists>
        <IsAsirAzir>false</IsAsirAzir>
        <IsPublicationProhibited>false</IsPublicationProhibited>
        <PublicationProhibitedFullName>עדי לנקרי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פילדה אקניו</FullName>
        <FirstName>פילדה</FirstName>
        <LastName>אקניו</LastName>
        <PartyPropertyName/>
        <AuthenticationTypeAndNumber>דרכון 1084513</AuthenticationTypeAndNumber>
        <RepresentatedOrRepresentativesNames>נטלי לוי</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250842957</CasePartyID>
        <PartyTypeID>1</PartyTypeID>
        <ActivityStatusID>1</ActivityStatusID>
        <PartyAliasID>1</PartyAliasID>
        <PartyAliasName>תובע</PartyAliasName>
        <OrdinalNumber>1</OrdinalNumber>
        <LegalEntityID>80844852</LegalEntityID>
        <CaseLegalEntityID>122847278</CaseLegalEntityID>
        <AuthenticationTypeID>2</AuthenticationTypeID>
        <AuthenticationTypeName>דרכון</AuthenticationTypeName>
        <LegalEntityNumber>1084513</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יצחק שדה 34 תל אביב -יפו </FullAddress>
        <MotionID>0</MotionID>
        <CasePleaID>0</CasePleaID>
        <PassportCountryID>254</PassportCountryID>
        <FatherName/>
        <LinkedCaseID>0</LinkedCaseID>
        <PartyID>1</PartyID>
        <CasePartyCategoryID>2</CasePartyCategoryID>
        <LegalEntityAddressID>87453328</LegalEntityAddressID>
        <PleaTypeID>4</PleaTypeID>
        <GroupPartyAlias>תובעים</GroupPartyAlias>
        <IsConverted>false</IsConverted>
        <LegalEntityNameID>94288540</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פילדה אקניו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נטלי לוי</FullName>
        <FirstName>נטלי</FirstName>
        <LastName>לוי</LastName>
        <PartyPropertyName/>
        <AuthenticationTypeAndNumber>מ.ר. 61945</AuthenticationTypeAndNumber>
        <RepresentatedOrRepresentativesNames>פילדה אקניו</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250842958</CasePartyID>
        <PartyTypeID>2</PartyTypeID>
        <ActivityStatusID>1</ActivityStatusID>
        <PartyAliasID>20</PartyAliasID>
        <PartyAliasName>בא כוח תובעים</PartyAliasName>
        <OrdinalNumber>1</OrdinalNumber>
        <LegalEntityID>72885351</LegalEntityID>
        <CaseLegalEntityID>122847279</CaseLegalEntityID>
        <AuthenticationTypeID>4</AuthenticationTypeID>
        <AuthenticationTypeName>מ.ר.</AuthenticationTypeName>
        <LegalEntityNumber>61945</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שתולים 61/46 תל אביב -יפו </FullAddress>
        <EmailAddress>natalylevy.adv@gmail.com</EmailAddress>
        <MotionID>0</MotionID>
        <CasePleaID>0</CasePleaID>
        <LinkedCaseID>0</LinkedCaseID>
        <PartyID>1</PartyID>
        <CasePartyCategoryID>2</CasePartyCategoryID>
        <LegalEntityAddressID>86214591</LegalEntityAddressID>
        <LegalEntityEmailAddressID>68168389</LegalEntityEmailAddressID>
        <PleaTypeID>4</PleaTypeID>
        <LawyerOfficeName>משרד עו"ד נטלי לוי</LawyerOfficeName>
        <LawyerOfficeID>72885352</LawyerOfficeID>
        <GroupPartyAlias/>
        <IsConverted>false</IsConverted>
        <LegalEntityNameID>77173556</LegalEntityNameID>
        <RepresentatedNamesOfAssistant/>
        <LegalEntityTypeID>4</LegalEntityTypeID>
        <IsVerdictExists>false</IsVerdictExists>
        <IsAsirAzir>false</IsAsirAzir>
        <IsPublicationProhibited>false</IsPublicationProhibited>
        <PublicationProhibitedFullName>נטלי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פרנסיס אקווליזה אובנוזי</FullName>
        <FirstName>פרנסיס אקווליזה</FirstName>
        <LastName>אובנוזי</LastName>
        <PartyPropertyName/>
        <AuthenticationTypeAndNumber>דרכון 07474923</AuthenticationTypeAndNumber>
        <RepresentatedOrRepresentativesNames>עדי לנקרי</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250842959</CasePartyID>
        <PartyTypeID>1</PartyTypeID>
        <ActivityStatusID>1</ActivityStatusID>
        <PartyAliasID>2</PartyAliasID>
        <PartyAliasName>נתבע</PartyAliasName>
        <OrdinalNumber>1</OrdinalNumber>
        <LegalEntityID>80844853</LegalEntityID>
        <CaseLegalEntityID>122847280</CaseLegalEntityID>
        <AuthenticationTypeID>2</AuthenticationTypeID>
        <AuthenticationTypeName>דרכון</AuthenticationTypeName>
        <LegalEntityNumber>07474923</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אוסישקין 7 בני ברק </FullAddress>
        <EmailAddress>ubamfrank@gmail.com</EmailAddress>
        <MotionID>0</MotionID>
        <CasePleaID>0</CasePleaID>
        <PassportCountryID>213</PassportCountryID>
        <FatherName/>
        <LinkedCaseID>0</LinkedCaseID>
        <PartyID>2</PartyID>
        <CasePartyCategoryID>2</CasePartyCategoryID>
        <LegalEntityAddressID>87453329</LegalEntityAddressID>
        <LegalEntityEmailAddressID>68249115</LegalEntityEmailAddressID>
        <PleaTypeID>4</PleaTypeID>
        <GroupPartyAlias>נתבעים</GroupPartyAlias>
        <IsConverted>false</IsConverted>
        <LegalEntityNameID>94288541</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פרנסיס אקווליזה אובנוזי</PublicationProhibitedFullName>
      </CaseParties>
    </CasePartiesSelectionDS>
    <DecisionName>פסק דין  שניתנה ע"י  יהורם שקד</DecisionName>
    <CourtDisplayName>בית משפט לענייני משפחה בתל אביב -יפו</CourtDisplayName>
    <IsCaseJudgePanel>false</IsCaseJudgePanel>
    <DecisionSignatureDate>2023-12-17T08:55:14.4333658+02:00</DecisionSignatureDate>
    <OpenCaseDate>2023-01-19T12:30:00+02:00</OpenCaseDate>
    <CaseFeeSum>0.000</CaseFeeSum>
    <DecisionTypeID>2</DecisionTypeID>
    <DecisionSignatureUserName>יהורם שקד</DecisionSignatureUserName>
    <DecisionSignatureDateHebrew>2023-12-17T08:55:14.4333658+02:00</DecisionSignatureDateHebrew>
    <DecisionWriterID>024693871@GOV.IL</DecisionWriterID>
    <CourtAddress>רח' ויצמן 1, תל אביב -יפו 64239</CourtAddress>
    <IsAutoTextInCaseExist>false</IsAutoTextInCaseExist>
    <DecisionSignatureRoleName>שופט</DecisionSignatureRoleName>
    <DecisionSignatureUserTitleName>שופט</DecisionSignatureUserTitleName>
    <CaseName>אקניו נ' אובנוזי</CaseName>
    <DecisionNumberInCase>11</DecisionNumberInCase>
  </dt_Decision>
  <dt_DecisionCase>
    <DecisionID>0</DecisionID>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עדי לנקרי</FullName>
        <FirstName>עדי</FirstName>
        <LastName>לנקרי</LastName>
        <PartyPropertyName/>
        <AuthenticationTypeAndNumber>מ.ר. 52264</AuthenticationTypeAndNumber>
        <RepresentatedOrRepresentativesNames>פרנסיס אקווליזה אובנוזי</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253349802</CasePartyID>
        <PartyTypeID>2</PartyTypeID>
        <ActivityStatusID>1</ActivityStatusID>
        <PartyAliasID>21</PartyAliasID>
        <PartyAliasName>בא כוח נתבעים</PartyAliasName>
        <LegalEntityID>33129443</LegalEntityID>
        <CaseLegalEntityID>123630099</CaseLegalEntityID>
        <AuthenticationTypeID>4</AuthenticationTypeID>
        <AuthenticationTypeName>מ.ר.</AuthenticationTypeName>
        <LegalEntityNumber>52264</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בן גוריון 1 בני ברק מגדל ב.ס.ר 2</FullAddress>
        <EmailAddress>adi@lh-law.co.il</EmailAddress>
        <MotionID>0</MotionID>
        <CasePleaID>0</CasePleaID>
        <LinkedCaseID>0</LinkedCaseID>
        <PartyID>2</PartyID>
        <CasePartyCategoryID>2</CasePartyCategoryID>
        <LegalEntityAddressID>45940422</LegalEntityAddressID>
        <LegalEntityEmailAddressID>67965404</LegalEntityEmailAddressID>
        <PleaTypeID>4</PleaTypeID>
        <LawyerOfficeName>משרד עו"ד עדי לנקרי</LawyerOfficeName>
        <LawyerOfficeID>33129444</LawyerOfficeID>
        <GroupPartyAlias/>
        <IsConverted>false</IsConverted>
        <LegalEntityNameID>34919814</LegalEntityNameID>
        <RepresentatedNamesOfAssistant/>
        <LegalEntityTypeID>4</LegalEntityTypeID>
        <IsVerdictExists>false</IsVerdictExists>
        <IsAsirAzir>false</IsAsirAzir>
        <IsPublicationProhibited>false</IsPublicationProhibited>
        <PublicationProhibitedFullName>עדי לנקרי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פילדה אקניו</FullName>
        <FirstName>פילדה</FirstName>
        <LastName>אקניו</LastName>
        <PartyPropertyName/>
        <AuthenticationTypeAndNumber>דרכון 1084513</AuthenticationTypeAndNumber>
        <RepresentatedOrRepresentativesNames>נטלי לוי</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250842957</CasePartyID>
        <PartyTypeID>1</PartyTypeID>
        <ActivityStatusID>1</ActivityStatusID>
        <PartyAliasID>1</PartyAliasID>
        <PartyAliasName>תובע</PartyAliasName>
        <OrdinalNumber>1</OrdinalNumber>
        <LegalEntityID>80844852</LegalEntityID>
        <CaseLegalEntityID>122847278</CaseLegalEntityID>
        <AuthenticationTypeID>2</AuthenticationTypeID>
        <AuthenticationTypeName>דרכון</AuthenticationTypeName>
        <LegalEntityNumber>1084513</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יצחק שדה 34 תל אביב -יפו </FullAddress>
        <MotionID>0</MotionID>
        <CasePleaID>0</CasePleaID>
        <PassportCountryID>254</PassportCountryID>
        <FatherName/>
        <LinkedCaseID>0</LinkedCaseID>
        <PartyID>1</PartyID>
        <CasePartyCategoryID>2</CasePartyCategoryID>
        <LegalEntityAddressID>87453328</LegalEntityAddressID>
        <PleaTypeID>4</PleaTypeID>
        <GroupPartyAlias>תובעים</GroupPartyAlias>
        <IsConverted>false</IsConverted>
        <LegalEntityNameID>94288540</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פילדה אקניו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נטלי לוי</FullName>
        <FirstName>נטלי</FirstName>
        <LastName>לוי</LastName>
        <PartyPropertyName/>
        <AuthenticationTypeAndNumber>מ.ר. 61945</AuthenticationTypeAndNumber>
        <RepresentatedOrRepresentativesNames>פילדה אקניו</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250842958</CasePartyID>
        <PartyTypeID>2</PartyTypeID>
        <ActivityStatusID>1</ActivityStatusID>
        <PartyAliasID>20</PartyAliasID>
        <PartyAliasName>בא כוח תובעים</PartyAliasName>
        <OrdinalNumber>1</OrdinalNumber>
        <LegalEntityID>72885351</LegalEntityID>
        <CaseLegalEntityID>122847279</CaseLegalEntityID>
        <AuthenticationTypeID>4</AuthenticationTypeID>
        <AuthenticationTypeName>מ.ר.</AuthenticationTypeName>
        <LegalEntityNumber>61945</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שתולים 61/46 תל אביב -יפו </FullAddress>
        <EmailAddress>natalylevy.adv@gmail.com</EmailAddress>
        <MotionID>0</MotionID>
        <CasePleaID>0</CasePleaID>
        <LinkedCaseID>0</LinkedCaseID>
        <PartyID>1</PartyID>
        <CasePartyCategoryID>2</CasePartyCategoryID>
        <LegalEntityAddressID>86214591</LegalEntityAddressID>
        <LegalEntityEmailAddressID>68168389</LegalEntityEmailAddressID>
        <PleaTypeID>4</PleaTypeID>
        <LawyerOfficeName>משרד עו"ד נטלי לוי</LawyerOfficeName>
        <LawyerOfficeID>72885352</LawyerOfficeID>
        <GroupPartyAlias/>
        <IsConverted>false</IsConverted>
        <LegalEntityNameID>77173556</LegalEntityNameID>
        <RepresentatedNamesOfAssistant/>
        <LegalEntityTypeID>4</LegalEntityTypeID>
        <IsVerdictExists>false</IsVerdictExists>
        <IsAsirAzir>false</IsAsirAzir>
        <IsPublicationProhibited>false</IsPublicationProhibited>
        <PublicationProhibitedFullName>נטלי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פרנסיס אקווליזה אובנוזי</FullName>
        <FirstName>פרנסיס אקווליזה</FirstName>
        <LastName>אובנוזי</LastName>
        <PartyPropertyName/>
        <AuthenticationTypeAndNumber>דרכון 07474923</AuthenticationTypeAndNumber>
        <RepresentatedOrRepresentativesNames>עדי לנקרי</RepresentatedOrRepresentativesNames>
        <RepresentatedOrRepresentativesCount>1</RepresentatedOrRepresentativesCount>
        <InvitedBy/>
        <CaseID>79931591</CaseID>
        <CaseJudicialPersonPresentationDS>
          <CaseJudicalPersonActive>
            <CaseID>79931591</CaseID>
            <JudicialPersonID>024693871@GOV.IL</JudicialPersonID>
            <JudicialPersonTypeID>1</JudicialPersonTypeID>
            <JudicialTypeID>1</JudicialTypeID>
            <IsChairman>false</IsChairman>
            <TreatmentStartDate>2023-01-19T17:06:38.92+02:00</TreatmentStartDate>
            <TreatmentFinishDate>9999-12-31T23:59:59.997+02:00</TreatmentFinishDate>
            <IdentificationCardNumber>024693871</IdentificationCardNumber>
            <DisplayName>יהורם שקד</DisplayName>
            <JudicialTypeName>שופט</JudicialTypeName>
            <CaseJudicialGroupNumber>0</CaseJudicialGroupNumber>
            <FirstName>יהורם</FirstName>
            <LastName>שקד</LastName>
            <JudicialPersonTitle>שופט</JudicialPersonTitle>
          </CaseJudicalPersonActive>
        </CaseJudicialPersonPresentationDS>
        <CasePartyID>250842959</CasePartyID>
        <PartyTypeID>1</PartyTypeID>
        <ActivityStatusID>1</ActivityStatusID>
        <PartyAliasID>2</PartyAliasID>
        <PartyAliasName>נתבע</PartyAliasName>
        <OrdinalNumber>1</OrdinalNumber>
        <LegalEntityID>80844853</LegalEntityID>
        <CaseLegalEntityID>122847280</CaseLegalEntityID>
        <AuthenticationTypeID>2</AuthenticationTypeID>
        <AuthenticationTypeName>דרכון</AuthenticationTypeName>
        <LegalEntityNumber>07474923</LegalEntityNumber>
        <IsMainPartyType>true</IsMainPartyType>
        <CaseDisplayIdentifier>48895-01-23</CaseDisplayIdentifier>
        <CaseTypeID>10262</CaseTypeID>
        <CaseTypeName>תביעה לאחר הסדר התדיינויות במשפחה (תלה"מ)</CaseTypeName>
        <CaseName>אקניו נ' אובנוזי</CaseName>
        <FullAddress>אוסישקין 7 בני ברק </FullAddress>
        <EmailAddress>ubamfrank@gmail.com</EmailAddress>
        <MotionID>0</MotionID>
        <CasePleaID>0</CasePleaID>
        <PassportCountryID>213</PassportCountryID>
        <FatherName/>
        <LinkedCaseID>0</LinkedCaseID>
        <PartyID>2</PartyID>
        <CasePartyCategoryID>2</CasePartyCategoryID>
        <LegalEntityAddressID>87453329</LegalEntityAddressID>
        <LegalEntityEmailAddressID>68249115</LegalEntityEmailAddressID>
        <PleaTypeID>4</PleaTypeID>
        <GroupPartyAlias>נתבעים</GroupPartyAlias>
        <IsConverted>false</IsConverted>
        <LegalEntityNameID>94288541</LegalEntityNameID>
        <RepresentatedNamesOfAssistant/>
        <PopulationRegisterVerificationStatusID>4</PopulationRegisterVerificationStatusID>
        <LegalEntityTypeID>2</LegalEntityTypeID>
        <IsVerdictExists>false</IsVerdictExists>
        <IsAsirAzir>false</IsAsirAzir>
        <IsPublicationProhibited>false</IsPublicationProhibited>
        <PublicationProhibitedFullName>פרנסיס אקווליזה אובנוזי</PublicationProhibitedFullName>
      </CaseParties>
    </CasePartiesSelectionDS>
    <CaseName>אקניו נ' אובנוזי</CaseName>
    <CaseDisplayIdentifier>48895-01-23</CaseDisplayIdentifier>
    <CaseInterestID>10118</CaseInterestID>
    <CaseTypeShortName>תלה"מ</CaseTypeShortName>
  </dt_DecisionCase>
  <dt_DecisionJudgePanel>
    <JudgeID>024693871@GOV.IL</JudgeID>
    <DisplayName>יהורם שקד</DisplayName>
    <RoleName>שופט</RoleName>
    <UserTitleName>שופט</UserTitleName>
  </dt_DecisionJudgePanel>
  <dt_LegalEntityDetails>
    <Fax>153-36965515</Fax>
    <Phone>03-6965515</Phone>
    <AddressDesc>מגדל ב.ס.ר 2</AddressDesc>
    <PartyID>2</PartyID>
    <PartyTypeID>2</PartyTypeID>
    <DecisionID>0</DecisionID>
    <StreetName>בן גוריון 1</StreetName>
    <ZipCode>51201</ZipCode>
    <CityName>בני ברק</CityName>
    <FullName>עדי לנקרי</FullName>
    <Email>adi@lh-law.co.il</Email>
    <IsPublicationProhibited>false</IsPublicationProhibited>
  </dt_LegalEntityDetails>
  <dt_LegalEntityDetails>
    <PartyID>1</PartyID>
    <PartyTypeID>1</PartyTypeID>
    <DecisionID>0</DecisionID>
    <StreetName>יצחק שדה 34</StreetName>
    <CityName>תל אביב -יפו</CityName>
    <FullName>פילדה אקניו</FullName>
    <IsPublicationProhibited>false</IsPublicationProhibited>
  </dt_LegalEntityDetails>
  <dt_LegalEntityDetails>
    <Fax>077-3181780</Fax>
    <AddressDesc/>
    <PartyID>1</PartyID>
    <PartyTypeID>2</PartyTypeID>
    <DecisionID>0</DecisionID>
    <StreetName>שתולים 61/46</StreetName>
    <CityName>תל אביב -יפו</CityName>
    <FullName>נטלי לוי</FullName>
    <Email>natalylevy.adv@gmail.com</Email>
    <IsPublicationProhibited>false</IsPublicationProhibited>
  </dt_LegalEntityDetails>
  <dt_LegalEntityDetails>
    <PartyID>2</PartyID>
    <PartyTypeID>1</PartyTypeID>
    <DecisionID>0</DecisionID>
    <StreetName>אוסישקין 7</StreetName>
    <CityName>בני ברק</CityName>
    <FullName>פרנסיס אקווליזה אובנוזי</FullName>
    <Email>ubamfrank@gmail.com</Email>
    <IsPublicationProhibited>false</IsPublicationProhibited>
  </dt_LegalEntityDetails>
  <dt_CaseJudicalPersonActive>
    <CaseJudicalPerson>שופט יהורם שקד</CaseJudicalPerson>
  </dt_CaseJudicalPersonActive>
  <dt_Sitting>
    <PreviousMeetingDate>2023-09-20T12:00:00+03:00</PreviousMeetingDate>
    <PreviousSittingTypeID>2</PreviousSittingTypeID>
    <PreviousMeetingDisplayName>שופט יהורם שקד</PreviousMeetingDisplayName>
    <PreviousMeetingRoleName>שופט</PreviousMeetingRoleName>
    <PreviousMeetingUserTitleName>שופט</PreviousMeetingUserTitleName>
    <PreviousMeetingUserUPN>024693871@GOV.IL</PreviousMeetingUserUPN>
  </dt_Sitting>
</DecisionTemplateDS>
</file>

<file path=customXml/itemProps1.xml><?xml version="1.0" encoding="utf-8"?>
<ds:datastoreItem xmlns:ds="http://schemas.openxmlformats.org/officeDocument/2006/customXml" ds:itemID="{CFA54059-A35E-40EF-A848-43D1D74C745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1487</Words>
  <Characters>7439</Characters>
  <Application>Microsoft Office Word</Application>
  <DocSecurity>0</DocSecurity>
  <Lines>61</Lines>
  <Paragraphs>17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2023-12-17T09:37:00Z</cp:lastPrinted>
  <dcterms:created xsi:type="dcterms:W3CDTF">2023-12-24T13:22:00Z</dcterms:created>
  <dcterms:modified xsi:type="dcterms:W3CDTF">2023-12-24T13:22:00Z</dcterms:modified>
</cp:coreProperties>
</file>